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9464" w:type="dxa"/>
        <w:tblLook w:val="04A0"/>
      </w:tblPr>
      <w:tblGrid>
        <w:gridCol w:w="4957"/>
        <w:gridCol w:w="4507"/>
      </w:tblGrid>
      <w:tr w:rsidR="00D551B5" w:rsidRPr="00A245CE" w:rsidTr="00D3329A">
        <w:trPr>
          <w:trHeight w:val="495"/>
        </w:trPr>
        <w:tc>
          <w:tcPr>
            <w:tcW w:w="4957" w:type="dxa"/>
            <w:hideMark/>
          </w:tcPr>
          <w:p w:rsidR="00D551B5" w:rsidRPr="00415592" w:rsidRDefault="00D551B5" w:rsidP="00EA0CE2">
            <w:pPr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«СОГЛАСОВАНО»                                   </w:t>
            </w:r>
          </w:p>
          <w:p w:rsidR="00D551B5" w:rsidRDefault="00D551B5" w:rsidP="00EA0C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1B5" w:rsidRPr="000B77DC" w:rsidRDefault="00D551B5" w:rsidP="00EA0C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DC">
              <w:rPr>
                <w:rFonts w:ascii="Times New Roman" w:hAnsi="Times New Roman" w:cs="Times New Roman"/>
                <w:sz w:val="24"/>
                <w:szCs w:val="24"/>
              </w:rPr>
              <w:t>ДТДиМ «Северное сияние»</w:t>
            </w:r>
          </w:p>
          <w:p w:rsidR="00D551B5" w:rsidRPr="000B77DC" w:rsidRDefault="00D551B5" w:rsidP="00EA0C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DC">
              <w:rPr>
                <w:rFonts w:ascii="Times New Roman" w:hAnsi="Times New Roman" w:cs="Times New Roman"/>
                <w:sz w:val="24"/>
                <w:szCs w:val="24"/>
              </w:rPr>
              <w:t>________ Шадрина Т.М.</w:t>
            </w:r>
          </w:p>
          <w:p w:rsidR="00D551B5" w:rsidRPr="000B77DC" w:rsidRDefault="00D551B5" w:rsidP="00D3329A">
            <w:pPr>
              <w:ind w:firstLine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2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  </w:t>
            </w:r>
            <w:r w:rsidR="00D3329A" w:rsidRPr="00D33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Pr="000B77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7" w:type="dxa"/>
            <w:hideMark/>
          </w:tcPr>
          <w:p w:rsidR="00D551B5" w:rsidRPr="00415592" w:rsidRDefault="00D551B5" w:rsidP="00EA0CE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B77D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</w:t>
            </w:r>
            <w:r w:rsidRPr="000B77D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1559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«УТВЕРЖДАЮ»  </w:t>
            </w:r>
          </w:p>
          <w:p w:rsidR="00D551B5" w:rsidRPr="000B77DC" w:rsidRDefault="00D551B5" w:rsidP="00EA0C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7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EB">
              <w:rPr>
                <w:rFonts w:ascii="Times New Roman" w:hAnsi="Times New Roman" w:cs="Times New Roman"/>
                <w:sz w:val="24"/>
                <w:szCs w:val="24"/>
              </w:rPr>
              <w:t xml:space="preserve">МАУ ДО  </w:t>
            </w:r>
            <w:r w:rsidRPr="000B77DC">
              <w:rPr>
                <w:rFonts w:ascii="Times New Roman" w:hAnsi="Times New Roman" w:cs="Times New Roman"/>
                <w:sz w:val="24"/>
                <w:szCs w:val="24"/>
              </w:rPr>
              <w:t>ДТДиМ «Северное сияние»</w:t>
            </w:r>
          </w:p>
          <w:p w:rsidR="00D551B5" w:rsidRPr="000B77DC" w:rsidRDefault="00C53CEB" w:rsidP="00EA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551B5" w:rsidRPr="000B77DC">
              <w:rPr>
                <w:rFonts w:ascii="Times New Roman" w:hAnsi="Times New Roman" w:cs="Times New Roman"/>
                <w:sz w:val="24"/>
                <w:szCs w:val="24"/>
              </w:rPr>
              <w:t>__________Е.В. Лобанова</w:t>
            </w:r>
          </w:p>
          <w:p w:rsidR="00D551B5" w:rsidRPr="000B77DC" w:rsidRDefault="00F83C8A" w:rsidP="00D3329A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48/2 от 14.09.16</w:t>
            </w:r>
            <w:r w:rsidR="00D551B5" w:rsidRPr="000B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572BD0" w:rsidP="0022565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ПОЛОЖЕНИЕ №22</w:t>
      </w:r>
    </w:p>
    <w:p w:rsidR="00225651" w:rsidRPr="00D3329A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BD0">
        <w:rPr>
          <w:rFonts w:ascii="Times New Roman" w:eastAsia="Calibri" w:hAnsi="Times New Roman" w:cs="Times New Roman"/>
          <w:b/>
          <w:sz w:val="24"/>
          <w:szCs w:val="24"/>
        </w:rPr>
        <w:t>об оплате труда</w:t>
      </w:r>
      <w:r w:rsidRPr="00D3329A">
        <w:rPr>
          <w:rFonts w:ascii="Times New Roman" w:eastAsia="Calibri" w:hAnsi="Times New Roman" w:cs="Times New Roman"/>
          <w:sz w:val="24"/>
          <w:szCs w:val="24"/>
        </w:rPr>
        <w:t xml:space="preserve"> работников муниципального  автономного учреждения дополнительного образования </w:t>
      </w:r>
      <w:proofErr w:type="gramStart"/>
      <w:r w:rsidRPr="00D3329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3329A">
        <w:rPr>
          <w:rFonts w:ascii="Times New Roman" w:eastAsia="Calibri" w:hAnsi="Times New Roman" w:cs="Times New Roman"/>
          <w:sz w:val="24"/>
          <w:szCs w:val="24"/>
        </w:rPr>
        <w:t>. Хабаровска «Дворец творчества детей и молодежи «Северное сияние», подведомственного управлению образования, финансирование оплаты труда которого осуществляется  за счет собственных доходов городского округа "Город Хабаровск"</w:t>
      </w:r>
    </w:p>
    <w:p w:rsidR="00225651" w:rsidRPr="00D3329A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9D22C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9D22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Настоящее положение об оплате труда работников муниципального  автономного учреждения дополнительного образования г. Хабаровска «Дворец творчества детей и молодежи «Северное сияние», подведомственного управлению образования, финансирование оплаты труда которого осуществляется  за счет собственных доходов городского округа "Город Хабаровск" (далее - Положение), регулирует порядок и условия оплаты труда работников муниципального  автономного учреждения дополнительного образования г. Хабаровска «Дворец творчества детей и молодежи «Северное сияние», подведомственного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управлению образования, финансирование оплаты труда которого осуществляется за счет собственных доходов городского округа "Город Хабаровск" (далее - Дворец) и разработано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Постановлением администрации города Хабаровска от 09.07.2009 г.  № 2378 «О введении в муниципальных образовательных учреждениях,  финансирование оплаты труда работников которых осуществляется за счет собственных доходов городского округа «Город  Хабаровск», новой системы оплаты труда (с изменениями на 08.11.2013г  Постановление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Хабаровска от 25 октября 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4150).</w:t>
      </w:r>
      <w:proofErr w:type="gramEnd"/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Фонд оплаты труда работников Дворца формируется на календарный год, исходя из утвержденного объема лимитов бюджетных обязательств.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Заработная плата работников (без учета премий и иных стимулирующих выплат), устанавливаемая в соответствии с новой системой оплаты труда (далее НСОТ).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 Заработная плата работника Дворца предельными размерами не ограничивается.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1.6. Система оплаты труда работников Дворца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органов местного самоуправления, а также с учетом мнения представительного органа работников и настоящего Положения.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D551B5" w:rsidRDefault="00D551B5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9D22CB" w:rsidRDefault="009D22CB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9D22C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Оплата труда работников Дворца.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9D22C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Оплата труда работников Дворца включает в себя: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>
        <w:rPr>
          <w:rFonts w:ascii="Times New Roman" w:eastAsia="Calibri" w:hAnsi="Times New Roman" w:cs="Times New Roman"/>
          <w:b/>
          <w:sz w:val="24"/>
          <w:szCs w:val="24"/>
        </w:rPr>
        <w:t>минимальные оклады (минимальные должностные оклады);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повышающие коэффициенты к минимальным окладам (минимальные должностным окладам);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компенсационные выплаты;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стимулирующие выплаты.</w:t>
      </w:r>
    </w:p>
    <w:p w:rsidR="00225651" w:rsidRDefault="00225651" w:rsidP="009D22C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2.1.1. Оклад (должностной оклад) - фиксированный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Минимальный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оклад (должностной оклад) работника муниципального учреждения, осуществляющего профессиональную деятельность по профессии рабочего или должности служащего, входящей в соответствующую профессиональную квалификационную группу, без учета компенсационных, стимулирующих и социальных льгот.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 Размеры окладов (должностных окладов) работников Дворца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 должностей работников (далее - ПКГ).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минимальных окладов (минимальных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должностных окладов) по ПКГ должностей работников Дворца приведены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приложении №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Положению.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окладам (должностным окладам), минимальным окладам (минимальным должностным  окладам)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работников на определенный период времени в течение соответствующего календарного года с учетом обеспечения финансовыми средствами устанавливаются нижеперечисленные повышающие коэффициенты:</w:t>
      </w:r>
      <w:proofErr w:type="gramEnd"/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  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квалификационную категорию;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- по занимаемой должности, в случае отсутствия квалификационной категории;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   за специфику работы в отдельном учреждении, отделении, группе;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   персональный повышающий коэффициент;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   надбавка молодому специалисту.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Повышающий коэффициент квалификации устанавливается: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 присвоении квалификационной категории - со дня вынесения решения аттестационной комиссии о присвоении квалификационной категории;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2.1.4. Размер выплат по повышающему коэффициенту определяется путем умножения размера оклада (должностного оклада) работника на повышающие коэффициенты.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Применение повышающих коэффициентов к окладу (должностному окладу), минимальному окладу (минимальному должностному окладу) платы не образует новый оклад (должностной оклад) и не учитывается при начислении компенсационных и стимулирующих выплат, устанавливаемых в процентном  отношении к окладу (должностному окладу), за исключением районного коэффициента и процентной надбавки за стаж работы в южных районах Дальнего Востока, устанавливаемых в процентном отношении к заработной плате работников.</w:t>
      </w:r>
      <w:proofErr w:type="gramEnd"/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2.1.5. Размеры повышающих коэффициентов к окладу (должностному окладу), минимальному окладу (минимальному должностному окладу)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квалификационную категорию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устанавливаемых работникам Дворца, приведены в </w:t>
      </w:r>
      <w:hyperlink r:id="rId8" w:anchor="Par379" w:history="1">
        <w:r>
          <w:rPr>
            <w:rStyle w:val="a3"/>
            <w:rFonts w:ascii="Times New Roman" w:eastAsia="Calibri" w:hAnsi="Times New Roman" w:cs="Times New Roman"/>
            <w:b/>
            <w:color w:val="auto"/>
            <w:sz w:val="24"/>
            <w:szCs w:val="24"/>
          </w:rPr>
          <w:t>приложении №2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к Положению.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2.1.6. Размеры повышающих коэффициентов к окладу (должностному окладу), минимальному окладу (минимальному должностному окладу) за специфику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отдельном учреждении, структурном подразделении, группе, устанавливаемых работникам муниципального образовательного учреждения, приведены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кПоложению.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2.1.7. Персональный повышающий коэффициент к окладу (должностному окладу),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минимальному окладу (минимальному должностному окладу)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может быть установлен работнику с учетом уровня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№6 </w:t>
      </w:r>
      <w:r>
        <w:rPr>
          <w:rFonts w:ascii="Times New Roman" w:eastAsia="Calibri" w:hAnsi="Times New Roman" w:cs="Times New Roman"/>
          <w:sz w:val="24"/>
          <w:szCs w:val="24"/>
        </w:rPr>
        <w:t>к Положению).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об установлении персонального повышающего коэффициента к окладу и его размере принимается руководителем Дворца персонально в отношении конкретного работника на срок выполнения поставленной задачи, работы.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Выплаты по повышающим коэффициентам начисляются с учетом установленной работнику нагрузки.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Работникам устанавливаются компенсационные выплаты, предусмотренные разделом 3 настоящего Положения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Работникам устанавливаются стимулирующие выплаты,  премии предусмотренные разделом 4 настоящего Положения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приложения №7, №8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 и премии производятся в пределах бюджетных ассигнований на оплату труда работников учреждения.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9D22C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Оплата труда педагогических работников</w:t>
      </w:r>
    </w:p>
    <w:p w:rsidR="00225651" w:rsidRDefault="00225651" w:rsidP="0022565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Группа должностей педагогических работников подразделяется на четыре квалификационных уровня в соответствии с Приказом Минздравсоцразвития Российской Федерации от 05 мая 2008 года N 216н "Об утверждении профессиональных квалификационных групп должностей работников образования".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2.2.2.Размеры должностных окладов (минимальных должностных окладов) по ПКГ должностей педагогических работников учреждений дополнительного образования детей составляют: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- 1-й квалификационный уровень - 7110 рублей;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>2-й квалификационный уровень - 7500 рублей (педагог дополнительного образования, концертмейстер, педагог – организатор)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3-й квалификационный уровень - 8080 рублей (методист,  педагог-психолог)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- 4-й квалификационный уровень - 8470 рублей.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 установленным должностным окладам (минимальным должностным окладам)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ПКГ должностей педагогических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определенный период времени в течение соответствующего календарного года и с учетом обеспечения финансовыми средствами могут быть установлены </w:t>
      </w:r>
      <w:r>
        <w:rPr>
          <w:rFonts w:ascii="Times New Roman" w:eastAsia="Calibri" w:hAnsi="Times New Roman" w:cs="Times New Roman"/>
          <w:b/>
          <w:sz w:val="24"/>
          <w:szCs w:val="24"/>
        </w:rPr>
        <w:t>повышающие коэффициенты:</w:t>
      </w:r>
      <w:proofErr w:type="gramEnd"/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 за квалификационную категорию;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 специфику работы в отдельном учреждении, структурном подразделении, группе;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персональный повышающий коэффициент;</w:t>
      </w:r>
    </w:p>
    <w:p w:rsidR="00225651" w:rsidRPr="009D22CB" w:rsidRDefault="00225651" w:rsidP="009D22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надбавка молодому специалисту.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2.2.4. Оплата труда работников, осуществляющих педагогическую деятельность, устанавливается исходя из тарифицируемой педагогической нагрузки.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 часов педагогической работы за ставку заработной платы, являющаяся нормируемой частью педагогической работы, устанавливается в соответствии с Постановлением Правительства Российской Федерации от 03.04.2003 N 191 "О продолжительности рабочего времени (норме часов педагогической работы за ставку заработной платы) педагогических работников".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2.2.5. Тарификационный список работников, осуществляющих педагогическую деятельность, формируется исходя из учебного плана и программ,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2.2.6. Размер надбавки молодому специалисту - 35 процентов минимальной ставки заработной платы.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2.3. Оплата труда учебно-вспомогательного персонала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 Должности работников учебно-вспомогательного персонала включены в две профессиональные квалификационные группы в соответствии с Приказом Минздравсоцразвития Российской Федерации от 05 мая 2008 года N 216н "Об утверждении профессиональных квалификационных групп должностей работников образования".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 Размеры должностных окладов (минимальных должностных окладов) по ПКГ должностей работников учебно-вспомогательного персонала составляют: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профессиональной квалификационной группе должностей работников учебно-вспомогательного персонала первого уровня - 4529 рублей;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профессиональной квалификационной группе должностей работников учебно-вспомогательного персонала второго уровня: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- 1-й квалификационный уровень - 4674 рубля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- 2-й квалификационный уровень - 4821 рубль.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 установленным должностным окладам (минимальным должностным окладам) по ПКГ должностей работников учебно-вспомогательного персонала на определенный период времени в течение соответствующего календарного года и с учетом обеспечения финансовыми средствами могут быть установлены повышающие коэффициенты:</w:t>
      </w:r>
      <w:proofErr w:type="gramEnd"/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 специфику работы в отдельном учреждении, отделении, группе;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 персональный повышающий коэффициент.</w:t>
      </w:r>
    </w:p>
    <w:p w:rsidR="00225651" w:rsidRDefault="00225651" w:rsidP="00D3329A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 Оплата труда руководителей структурных подразделений</w:t>
      </w:r>
    </w:p>
    <w:p w:rsidR="001203A1" w:rsidRDefault="00225651" w:rsidP="00D3329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Группа должностей руководителей структурных подразделений делится на три квалификационных уровня в соответствии с Приказом Минздравсоцразвития Российской Федерации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05 мая 2008 года N 216н "Об утверждении профессиональных квалификационных групп должностей работников образования"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Размеры должностных окладов (минимальных должностных окладов) по ПКГ должностей руководителей структурных подразделений составляют: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квалификационный уровень - 6719 рублей (Заведующий отделом)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- 2-й квалификационный уровень - 7012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- 3-й квалификационный уровень - 7304 рубля.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установленным должностным окладам (минимальным должностным окладам) по ПКГ должностей руководителей структурных подразделений на определенный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 в течение соответствующего календарного года и с учетом обеспечения финансовыми средствами могут быть установлены повышающие коэффициенты: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квалификационную категорию;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специфику работы в отдельном учреждении, структурном подразделении, группе;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персональный повышающий коэффициент.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25651" w:rsidRDefault="00225651" w:rsidP="00D3329A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Оплата труда работников, занимающих общеотраслевые должности служащих</w:t>
      </w:r>
    </w:p>
    <w:p w:rsidR="00225651" w:rsidRDefault="00225651" w:rsidP="00D3329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Оплата труда работников, занимающих общеотраслевые должности служащих (за исключением работников, указанных в разделах 2.2 - 2.4)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2.5.1. Работники, относящиеся к категории должностей служащих (за исключением работников, указанных в разделах 2.2 - 2.4), подразделяются на четыре профессиональные квалификационные группы в соответствии с Приказом Минздравсоцразвития  Российской Федерации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29 мая 2008 года N 247н "Об утверждении профессиональных квалификационных групп общеотраслевых должностей руководителей, специалистов и служащих"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2.5.2. Размеры должностных окладов (минимальных должностных окладов) по ПКГ должностей служащих составляют: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Должности, отнесенные к ПКГ "Общеотраслевые должности служащих первого уровня":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- 1-й квалификационный уровень - 3360 рублей</w:t>
      </w:r>
    </w:p>
    <w:p w:rsidR="00225651" w:rsidRDefault="00225651" w:rsidP="00D3329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-2-й квалификационный уровень - 3652 рубля.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Должности, отнесенные к ПКГ "Общеотраслевые должности служащих второго уровня":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квалификационный уровень - 4382 рубля (Секретарь руководителя, инспектор по кадрам, художник- оформитель)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- 2-й квалификационный уровень - 4821 рубль;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- 3-й квалификационный уровень - 5258 рублей (Звукооператор)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Должности, отнесенные к ПКГ "Общеотраслевые должности служащих третьего уровня":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- 1-й квалификационный уровень - 5113 рублей (Инженер по охране труда)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отнесенные к ПКГ "Общеотраслевые должности служащих четвертого уровня":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- 3-й квалификационный уровень - 6427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установленным должностным окладам (минимальным должностным окладам) по группам общеотраслевых должностей руководителей, специалистов и служащих на определенный период времени в течение соответствующего календарного года и с учетом обеспечения финансовыми средствами могут быть установлены повышающие коэффициенты: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специфику работы в отдельном учреждении, структурном подразделении, группе;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персональный повышающий коэффициент.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25651" w:rsidRDefault="00225651" w:rsidP="00D3329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Оплата труда работников, осуществляющих профессиональную деятельность по общеотраслевым профессиям рабочих</w:t>
      </w:r>
    </w:p>
    <w:p w:rsidR="00225651" w:rsidRDefault="00225651" w:rsidP="00D3329A">
      <w:pPr>
        <w:spacing w:before="100" w:before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Работники, относящиеся к категории общеотраслевых профессий рабочих, подразделяются на четыре профессиональные квалификационные группы в соответствии с Приказом Минздравсоцразвития Российской Федерации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29 мая 2008 года N 248н "Об утверждении профессиональных квалификационных групп общеотраслевых профессий рабочих"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2.6.2. Размеры окладов по ПКГ общеотраслевых профессий рабочих составляют: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Должности, отнесенные к ПКГ "Общеотраслевые профессии рабочих первого уровня":</w:t>
      </w:r>
    </w:p>
    <w:p w:rsidR="00225651" w:rsidRPr="009D22CB" w:rsidRDefault="00225651" w:rsidP="00D3329A">
      <w:pPr>
        <w:spacing w:before="100" w:before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- 1-й квалификационный уровень - 2921 рубль  (швея; рабочий по комплексному обслуживанию: слесарь, электрик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плотник, дворник, уборщица; сторож; сторож- вахтер; гардеробщик)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- 2-й квалификационный уровень - 3360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Должности, отнесенные к ПКГ "Общеотраслевые профессии рабочих второго уровня":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- 1-й квалификационный уровень - 3433 рубля (мастер по настройке музыкальных инструментов)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- 2-й квалификационный уровень - 3945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- 3-й квалификационный уровень - 4310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установленным окладам (минимальным должностным окладам) по группам общеотраслевых профессий рабочих на определенный период времени в течение соответствующего календарного года и с учетом обеспечения финансовыми средствами могут быть установлены повышающие коэффициенты: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специфику работы в отдельном учреждении, структурном подразделении, группе;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персональный повышающий коэффициент.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2.7. Оплата труда руководителя, заместителей руководителя, главного бухгалтера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Заработная плата руководителей муниципальных образовательных учреждений, заместителей руководителя и главных бухгалтеров состоит из должностного оклада, повышающих коэффициентов, компенсационных и стимулирующих выплат.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2.7.2. Размер должностного оклада руководителя учреждения определяется трудовым договором.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2.7.3. Отнесение учреждений образования к группам по оплате труда руководителей осуществляется в соответствии с Объемными показателями деятельности образовательных учреждений и порядком отнесения их к группам по оплате труда руководителей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2.7.4. Размер должностного оклада руководителя учреждения, размер, порядок и условия установления выплат компенсационного и стимулирующего характера устанавливаются его учредителем (управлением образования администрации города Хабаровска).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2.7.5. Размеры выплат стимулирующего характера руководителю определяются с учетом результатов деятельности учреждения, исполнения им целевых показателей эффективности работы, устанавливаемых управлением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Предельный уровень соотношения средней заработной платы руководителя учреждения и средней заработной платы работников учреждения устанавливается управлением образования в кратности от 1 до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2.7.6. К установленным должностным окладам руководителей учреждений, их заместителей, главных бухгалтеров устанавливаются повышающие коэффициенты: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квалификацию -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приложением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2.7.7. Размеры должностных окладов заместителей руководителя учреждения, главного бухгалтера устанавливаются руководителем муниципального образовательного учреждения на 10 - 30 процентов ниже оклада руководителя.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2.7.8. Выплаты компенсационного и стимулирующего характера для заместителей руководителя и главных бухгалтеров устанавливаются в соответствии с разделами 3, 4 настоящего Положения, локальными нормативными актами учреждений.</w:t>
      </w:r>
    </w:p>
    <w:p w:rsidR="009D22CB" w:rsidRDefault="009D22CB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Порядок и условия оплаты труда 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 культуры, искусства и кинематографии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Должности работников культуры, искусства и кинематографии включены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профессиональные квалификационные группы в соответствии с Приказом Минздравсоцразвития Российской Федерации от 31 августа 2007 года N 570 "Об утверждении профессиональных квалификационных групп должностей работников культуры, искусства и кинематографии".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Размеры должностных окладов по ПКГ должностей работников культуры, искусства и кинематографии составляют: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ПКГ "Должности работников культуры, искусства и кинематографии среднего звена" - 4674 рубля (заведующий костюмерной)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ПКГ "Должности руководящего состава учреждений культуры, искусства и кинематографии" - 6135 рублей (заведующий  студией, режиссер, звукорежиссер)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установленным должностным окладам (минимальным должностным окладам) по ПКГ должностей работников культуры, искусства и кинематографии на определенный период времени в течение соответствующего календарного года и с учетом обеспечения финансовыми средствами могут быть установлены повышающие коэффициенты:</w:t>
      </w:r>
      <w:proofErr w:type="gramEnd"/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квалификационную категорию;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специфику работы в отдельном учреждении, структурном подразделении, группе;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повышающий коэффициент.</w:t>
      </w:r>
    </w:p>
    <w:p w:rsidR="00225651" w:rsidRDefault="00225651" w:rsidP="00D3329A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и условия установления компенсационных выплат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С учетом условий труда и норм действующего законодательства Российской Федерации, в соответствии с перечнем видов выплат компенсационного характера в муниципальных бюджетных учреждениях, утвержденным муниципальным правовым актом, работникам могут быть установлены следующие компенсационные выплаты: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выплаты работникам, занятым на тяжелых работах, работах с вредными и (или) опасными и иными условиями труда;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выплаты за работу в местностях с особыми климатическими условиями;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праздничные дни, за работу с разделением смены на части (с перерывом работы свыше двух часов), водителю за разъездной характер работы при выполнении работ в других условиях, отклоняющихся от нормальных, выплаты за дополнительную работу, не входящую в круг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должностных обязанностей работника, - за заведование кабинетами, учебной мастерской и т.д.).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Компенсационные выплаты (кроме районного коэффициента и процентной надбавки за стаж работы в южных районах Дальнего Востока), установленные в процентном отношении, применяются к окладу (должностному окладу), минимальным окладам (минимальным должностным окладам)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соответствующим ПКГ без учета повышающих коэффициентов.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Выплата работникам, занятым на тяжелых работах с вредными и (или) опасными и иными особыми условиями труда, устанавливается в соответствии со ст. 147 Трудового кодекса РФ.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по итогам аттестации рабочее место признается безопасным, то осуществление указанной выплаты не производится.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К заработной плате работников муниципальных образовательных учреждений выплачиваются: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районный коэффициент за работу в южных районах Дальнего Востока в размере 30 процентов;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процентные надбавки за стаж работы в организациях, расположенных в южных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районах Дальнего Востока, в размерах, установленных нормативными актами Российской Федерации и Хабаровского края.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часов), водителю за разъездной характер работы и при выполнении работ в других условиях, отклоняющихся от нормальных), устанавливаются в соответствии с законодательством Российской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3.5.1. Размер компенсационных выплат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3.5.2. Доплата за работу в ночное время производится работникам за каждый час работы в ночное время.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Ночным считается время с 22 часов до 6 часов утра.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Минимальный размер доплаты - 20 процентов части оклада (должностного оклада), минимального оклада (минимального должностного оклада) за час работы работника, рекомендуемый максимальный размер доплаты - 35 процентов.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Расчет доплаты за часы работы в ночное время определяется с учетом оклада (должностного оклада) работника и среднемесячного количества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3.5.3. Доплата за работу в выходные и нерабочие праздничные дни производится работникам,  привлекавшимся  к работе в выходные и нерабочие праздничные дни.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доплат составляет: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 менее одинарной дневной ставки сверх оклада (должностного оклада)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работе полный день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3.5.4. Повышенная оплата сверхурочной работы составляет за первые два часа работы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менее полуторного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размера, за последующие часы - двойного размера в соответствии со ст. 152 Трудового кодекса Российской Федерации.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Порядок и условия установления стимулирующих выплат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4.1. Стимулирующие выплаты направлены на усиление мотивации работников Дворца к высокой результативности и качеству труда.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4.2. Стимулирующие выплаты, размеры и условия их осуществления устанавливаются коллективным договором, соглашением, локальными нормативными актами.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4.3. В соответствии с перечнем видов выплат стимулирующего характера в муниципальных бюджетных учреждениях, утвержденным муниципальным правовым актом, работникам Дворца установлены следующие виды выплат: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выплаты за интенсивность и высокие результаты работы;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- выплаты за качество выполняемых работ;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выплаты за профессиональное мастерство, классность;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надбавка за стаж непрерывной работы в образовательных учреждениях;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выплаты за применение в работе достижений науки и передовых методов труда;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выплаты за наличие ученой степени, звания "заслуженный", "народный";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премиальные выплаты по итогам работы;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премиальные выплаты за выполнение особо важных и срочных работ.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4.4. Стимулирующие выплаты работникам Дворца устанавливаются в соответствии с Положением об установлении выплат стимулирующего характера и критериями для установления стимулирующих выплат, позволяющими оценить результативность и качество работы, разработанным руководителем учреждения с участием органов общественного самоуправления образовательного учреждения и утвержденным локальным нормативным актом учреждения.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4.5. Премирование работников Дворца осуществляется на основе Положения о премировании, утверждаемого локальным нормативным актом учреждения.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4.6. Надбавка за стаж непрерывной работы во Дворце устанавливается в соответствии </w:t>
      </w:r>
      <w:r>
        <w:rPr>
          <w:rFonts w:ascii="Times New Roman" w:eastAsia="Calibri" w:hAnsi="Times New Roman" w:cs="Times New Roman"/>
          <w:b/>
          <w:sz w:val="24"/>
          <w:szCs w:val="24"/>
        </w:rPr>
        <w:t>с Приложением  № 4</w:t>
      </w:r>
      <w:r>
        <w:rPr>
          <w:rFonts w:ascii="Times New Roman" w:eastAsia="Calibri" w:hAnsi="Times New Roman" w:cs="Times New Roman"/>
          <w:sz w:val="24"/>
          <w:szCs w:val="24"/>
        </w:rPr>
        <w:t>. Надбавка за непрерывный стаж работы в муниципальных образовательных учреждениях начисляется в процентах к окладу (должностному окладу), (минимальному должностному окладу) с учетом установленной нагрузки, но не более чем на 1 ставку.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4.7. Размер выплаты за наличие ученой степени - 10 процентов к окладу, минимальному должностному окладу.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4.8. Размер выплаты за звания "заслуженный", "народный":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педагогических работников - 20 процентов к окладу, базовому должностному окладу;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руководителей учреждений - 10 процентов к должностному окладу.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4.9. При наличии у работника двух званий - "заслуженный" и "народный" - выплата применяется по одному из оснований.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4.10. Стимулирующие выплаты могут устанавливаться как в абсолютном значении, так и в процентном отношении к окладу (минимальному должностному окладу).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 размер выплат не ограничен.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4.11. Стимулирующие выплаты производятся в пределах бюджетных ассигнований на оплату труда работников учреждения.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Другие вопросы оплаты труда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5.1. Штатное расписание Дворца  ежегодно утверждается руководителем учреждения и согласовывается начальником управления образования.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5.2. Из фонда оплаты труда работникам Дворца может выплачиваться материальная помощь.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Материальная помощь устанавливается в размере одного оклада (должностного оклада), минимального оклада (минимального должностного оклада) и выплачивается в течение года в пределах утвержденного фонда оплаты труда.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и размеры выплаты материальной помощи устанавливаются локальным актом учреждения с учетом мнения представительного органа работников.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Выплата материальной помощи работникам Дворца производится в пределах средств фонда оплаты труда.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 При отсутствии или недостатке бюджетных финансовых средств руководитель учреждения вправе приостановить выплату стимулирующих надбавок, уменьшить или отменить их выплату.</w:t>
      </w:r>
    </w:p>
    <w:p w:rsidR="00D551B5" w:rsidRPr="009D22CB" w:rsidRDefault="00225651" w:rsidP="00D3329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5.4. В случае задержки выплаты заработной платы и других нарушений в сфере оплаты труда руководитель учреждения несет ответственность в соответствии с Трудовым </w:t>
      </w:r>
      <w:hyperlink r:id="rId1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кодексом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D3329A" w:rsidRDefault="00D3329A" w:rsidP="00D3329A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5651" w:rsidRDefault="00225651" w:rsidP="00225651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автономного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 «Дворец творчества детей и молодежи «Северное сияние»,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оплаты труда, которого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 за счет собственных доходов городского округа "Город Хабаровск"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3686"/>
        <w:jc w:val="left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29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Размеры минимальных окладов (минимальных должностных окладов) по ПКГ должностей работников Дворца </w:t>
      </w: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6600"/>
        <w:gridCol w:w="1800"/>
      </w:tblGrid>
      <w:tr w:rsidR="00225651" w:rsidTr="00225651">
        <w:trPr>
          <w:trHeight w:val="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/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      квалификационный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минимального оклада (минимального должностного оклада)  (в руб.)    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2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      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Профессиональные квалификационные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группы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общеотраслевых должностей руководителей, специалистов и служащих, утвержденные Приказом Минздравсоцразвития России от 29 мая 2008 г. N 247н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 "Общеотраслевые должности служащих первого уровня":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квалификационный уровень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4674</w:t>
            </w:r>
          </w:p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костюмерной 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квалификационный уровень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             "Общеотраслевые должности служащих второго уровня":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rPr>
          <w:trHeight w:val="33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4382</w:t>
            </w:r>
          </w:p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руководителя, инспектор по кадрам, художник- оформитель- </w:t>
            </w:r>
          </w:p>
        </w:tc>
      </w:tr>
      <w:tr w:rsidR="00225651" w:rsidTr="00225651">
        <w:trPr>
          <w:trHeight w:val="1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.2.2.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квалификационный уровень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.2.3.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квалификационный уровень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    "Общеотраслевые должности служащих третьего уровня":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квалификационный уровень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5113</w:t>
            </w:r>
          </w:p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Профессиональные квалификационные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группы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должностей  работников культуры, искусства и кинематографии, утвержденные Приказом Минздравсоцразвития России от  31 августа 2007 г. N 570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"Должности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технических 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артистов вспомогательного состава"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 "Должности  работников культуры, искусства и кинематографии      среднего звена"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6135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студией, звукорежиссер, 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"Должности   работников культуры, искусства и кинематографии      ведущего звена"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"Должности   руководящего состава учреждений культуры, искусства и кинематографии"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Профессиональные квалификационные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группы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должностей   работников образования, утвержденные Приказом   Минздравсоцразвития России от 05 мая 2008 г. N 216н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   должностей педагогических работников: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2-й квалификационный уровень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7500 </w:t>
            </w:r>
          </w:p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дополнительного образования, концертмейстер педагог-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организатор, 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3-й квалификационный уровень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8080 </w:t>
            </w:r>
          </w:p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методист, педагог- психолог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 должностей руководителей структурных подразделений</w:t>
            </w:r>
          </w:p>
          <w:p w:rsidR="00225651" w:rsidRDefault="00225651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1-й квалификационный уровень    </w:t>
            </w:r>
          </w:p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6719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 отделом</w:t>
            </w:r>
          </w:p>
        </w:tc>
      </w:tr>
      <w:tr w:rsidR="00225651" w:rsidTr="002256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Профессиональные квалификационные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группы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общеотраслевых профессий рабочих, утвержденные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Приказом Минздравсоцразвития России от 29 мая 2008 г. N 248н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квалификационная группа             "Общеотраслевые профессии рабочих первого уровня"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квалификационный уровень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2921</w:t>
            </w:r>
          </w:p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Рабочие, швея</w:t>
            </w:r>
          </w:p>
        </w:tc>
      </w:tr>
      <w:tr w:rsidR="00225651" w:rsidTr="002256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            "Общеотраслевые профессии рабочих второго уровня"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квалификационный уровень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квалификационный уровень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25651" w:rsidTr="0022565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квалификационный уровень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551B5" w:rsidRDefault="00225651" w:rsidP="00D55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51B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D22CB" w:rsidRDefault="009D22CB" w:rsidP="00D551B5">
      <w:pPr>
        <w:rPr>
          <w:rFonts w:ascii="Times New Roman" w:hAnsi="Times New Roman" w:cs="Times New Roman"/>
          <w:b/>
          <w:sz w:val="24"/>
          <w:szCs w:val="24"/>
        </w:rPr>
      </w:pPr>
    </w:p>
    <w:p w:rsidR="009D22CB" w:rsidRDefault="009D22CB" w:rsidP="00D551B5">
      <w:pPr>
        <w:rPr>
          <w:rFonts w:ascii="Times New Roman" w:hAnsi="Times New Roman" w:cs="Times New Roman"/>
          <w:b/>
          <w:sz w:val="24"/>
          <w:szCs w:val="24"/>
        </w:rPr>
      </w:pPr>
    </w:p>
    <w:p w:rsidR="009D22CB" w:rsidRDefault="009D22CB" w:rsidP="00D551B5">
      <w:pPr>
        <w:rPr>
          <w:rFonts w:ascii="Times New Roman" w:hAnsi="Times New Roman" w:cs="Times New Roman"/>
          <w:b/>
          <w:sz w:val="24"/>
          <w:szCs w:val="24"/>
        </w:rPr>
      </w:pPr>
    </w:p>
    <w:p w:rsidR="009D22CB" w:rsidRDefault="009D22CB" w:rsidP="00D551B5">
      <w:pPr>
        <w:rPr>
          <w:rFonts w:ascii="Times New Roman" w:hAnsi="Times New Roman" w:cs="Times New Roman"/>
          <w:b/>
          <w:sz w:val="24"/>
          <w:szCs w:val="24"/>
        </w:rPr>
      </w:pPr>
    </w:p>
    <w:p w:rsidR="009D22CB" w:rsidRDefault="009D22CB" w:rsidP="00D551B5">
      <w:pPr>
        <w:rPr>
          <w:rFonts w:ascii="Times New Roman" w:hAnsi="Times New Roman" w:cs="Times New Roman"/>
          <w:b/>
          <w:sz w:val="24"/>
          <w:szCs w:val="24"/>
        </w:rPr>
      </w:pPr>
    </w:p>
    <w:p w:rsidR="009D22CB" w:rsidRDefault="009D22CB" w:rsidP="00D551B5">
      <w:pPr>
        <w:rPr>
          <w:rFonts w:ascii="Times New Roman" w:hAnsi="Times New Roman" w:cs="Times New Roman"/>
          <w:b/>
          <w:sz w:val="24"/>
          <w:szCs w:val="24"/>
        </w:rPr>
      </w:pPr>
    </w:p>
    <w:p w:rsidR="009D22CB" w:rsidRDefault="009D22CB" w:rsidP="00D551B5">
      <w:pPr>
        <w:rPr>
          <w:rFonts w:ascii="Times New Roman" w:hAnsi="Times New Roman" w:cs="Times New Roman"/>
          <w:b/>
          <w:sz w:val="24"/>
          <w:szCs w:val="24"/>
        </w:rPr>
      </w:pPr>
    </w:p>
    <w:p w:rsidR="009D22CB" w:rsidRDefault="009D22CB" w:rsidP="00D551B5">
      <w:pPr>
        <w:rPr>
          <w:rFonts w:ascii="Times New Roman" w:hAnsi="Times New Roman" w:cs="Times New Roman"/>
          <w:b/>
          <w:sz w:val="24"/>
          <w:szCs w:val="24"/>
        </w:rPr>
      </w:pPr>
    </w:p>
    <w:p w:rsidR="009D22CB" w:rsidRDefault="009D22CB" w:rsidP="00D551B5">
      <w:pPr>
        <w:rPr>
          <w:rFonts w:ascii="Times New Roman" w:hAnsi="Times New Roman" w:cs="Times New Roman"/>
          <w:b/>
          <w:sz w:val="24"/>
          <w:szCs w:val="24"/>
        </w:rPr>
      </w:pPr>
    </w:p>
    <w:p w:rsidR="009D22CB" w:rsidRDefault="009D22CB" w:rsidP="00D551B5">
      <w:pPr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Приложение №2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автономного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 «Дворец творчества детей и молодежи «Северное сияние»,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оплаты труда, которого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 за счет собственных доходов городского округа "Город Хабаровск".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82"/>
      <w:bookmarkEnd w:id="1"/>
      <w:r>
        <w:rPr>
          <w:rFonts w:ascii="Times New Roman" w:hAnsi="Times New Roman" w:cs="Times New Roman"/>
          <w:b/>
          <w:sz w:val="24"/>
          <w:szCs w:val="24"/>
        </w:rPr>
        <w:t>КОЭФФИЦИЕНТ ЗА КВАЛИФИКАЦИЮ, НАЛИЧИЕ УЧЕНОЙ СТЕПЕНИ, ЗВАНИЯ «ЗАСЛУЖЕННЫЙ", «НАРОДНЫЙ»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2268"/>
        <w:gridCol w:w="1984"/>
      </w:tblGrid>
      <w:tr w:rsidR="00225651" w:rsidTr="00225651">
        <w:trPr>
          <w:trHeight w:val="4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квалификации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повышающего коэффициента</w:t>
            </w:r>
          </w:p>
        </w:tc>
      </w:tr>
      <w:tr w:rsidR="00225651" w:rsidTr="00225651">
        <w:trPr>
          <w:trHeight w:val="4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работников учреждения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учреждения</w:t>
            </w:r>
          </w:p>
        </w:tc>
      </w:tr>
      <w:tr w:rsidR="00225651" w:rsidTr="0022565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квалификационная 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225651" w:rsidTr="0022565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квалификационная категория группа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651" w:rsidTr="0022565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Вторая квалификационная категория группа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651" w:rsidTr="0022565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наличие  ученой степени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</w:tr>
      <w:tr w:rsidR="00225651" w:rsidTr="0022565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звание «заслуженный», «народной»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</w:tr>
    </w:tbl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автономного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 «Дворец творчества детей и молодежи «Северное сияние»,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оплаты труда, которого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 за счет собственных доходов городского округа "Город Хабаровск"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Объемные показатели </w:t>
      </w:r>
    </w:p>
    <w:p w:rsidR="00225651" w:rsidRDefault="00225651" w:rsidP="0022565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деятельности муниципальных  автономных учреждений дополнительного образования, подведомственных управлению образования и порядок отнесения их к группам по оплате труда руководителей муниципальных автономных учреждений дополнительного образования.</w:t>
      </w:r>
    </w:p>
    <w:p w:rsidR="00225651" w:rsidRDefault="00225651" w:rsidP="0022565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25651" w:rsidRDefault="00225651" w:rsidP="00225651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Объемные показатели деятельности муниципальных учреждений</w:t>
      </w:r>
    </w:p>
    <w:p w:rsidR="00225651" w:rsidRDefault="00225651" w:rsidP="00225651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25651" w:rsidRDefault="00225651" w:rsidP="00225651">
      <w:pPr>
        <w:pStyle w:val="a7"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 объемным показателям деятельности муниципальных учреждений относятся показатели, характеризующие масштаб руководства муниципальным учреждением: численность работников учреждения, количество детей, подростков и молодежи (человек), сменность работы муниципального учреждения, превышение плановой (проектной) наполняемости и др. показатели, значительно осложняющие работу по руководству учреждением.</w:t>
      </w:r>
    </w:p>
    <w:p w:rsidR="00225651" w:rsidRDefault="00225651" w:rsidP="00225651">
      <w:pPr>
        <w:pStyle w:val="a7"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деятельности каждого муниципального учреждения при определении группы по оплате труда руководителей оценивается в баллах по следующим показателям: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3828"/>
        <w:gridCol w:w="2693"/>
        <w:gridCol w:w="1703"/>
      </w:tblGrid>
      <w:tr w:rsidR="00225651" w:rsidTr="00225651">
        <w:trPr>
          <w:trHeight w:val="6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25651" w:rsidTr="0022565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pStyle w:val="a6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(воспитанников) в  учреждениях     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обучающегося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(воспитанника, отдыхающего)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0,3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5651" w:rsidTr="0022565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учреждении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каждого работника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-дополнительно за каждого работника, имеющего: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категорию,</w:t>
            </w: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категорию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225651" w:rsidTr="0022565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соцгостиной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225651" w:rsidTr="0022565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 компьютерных кабинетов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кабинет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 10</w:t>
            </w:r>
          </w:p>
        </w:tc>
      </w:tr>
      <w:tr w:rsidR="00225651" w:rsidTr="0022565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-автотранспортных средств, на балансе  учреждения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учебной техники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3, но не более 20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 20</w:t>
            </w:r>
          </w:p>
        </w:tc>
      </w:tr>
      <w:tr w:rsidR="00225651" w:rsidTr="00225651">
        <w:trPr>
          <w:trHeight w:val="3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pStyle w:val="a6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учреждениях (группах) общего назначения обучающихся (воспитанников) со специальными потребностями, охваченных квалификационной коррекцией физического и психического развития (кроме специальных (коррекционных образовательных учреждений классов, групп) и дошкольных образовательных учреждений (групп) компенсирующего вида)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225651" w:rsidRDefault="00225651" w:rsidP="00225651">
      <w:pPr>
        <w:pStyle w:val="a7"/>
        <w:tabs>
          <w:tab w:val="left" w:pos="1134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5651" w:rsidRDefault="00225651" w:rsidP="00225651">
      <w:pPr>
        <w:pStyle w:val="a7"/>
        <w:tabs>
          <w:tab w:val="left" w:pos="1134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Образовательные учреждения относятся 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225651" w:rsidRDefault="00225651" w:rsidP="00225651">
      <w:pPr>
        <w:pStyle w:val="a7"/>
        <w:tabs>
          <w:tab w:val="left" w:pos="1134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4278"/>
        <w:gridCol w:w="1134"/>
        <w:gridCol w:w="1275"/>
        <w:gridCol w:w="993"/>
        <w:gridCol w:w="992"/>
      </w:tblGrid>
      <w:tr w:rsidR="00225651" w:rsidTr="00225651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(вид) образовательного учреждения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к которой учреждение относится по оплате труда руководителей по сумме баллов</w:t>
            </w:r>
          </w:p>
        </w:tc>
      </w:tr>
      <w:tr w:rsidR="00225651" w:rsidTr="00225651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225651" w:rsidTr="0022565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pStyle w:val="a6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651" w:rsidTr="0022565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</w:t>
            </w: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</w:t>
            </w:r>
          </w:p>
          <w:p w:rsidR="00225651" w:rsidRDefault="002256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</w:tr>
    </w:tbl>
    <w:p w:rsidR="00225651" w:rsidRDefault="00225651" w:rsidP="00D3329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D3329A">
      <w:pPr>
        <w:pStyle w:val="a7"/>
        <w:spacing w:after="200"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отнесения муниципальных образовательных учреждений к группам по оплате труда руководителей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29A" w:rsidRDefault="00225651" w:rsidP="00D332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D3329A" w:rsidRDefault="00225651" w:rsidP="00D332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2 года.</w:t>
      </w:r>
    </w:p>
    <w:p w:rsidR="00D3329A" w:rsidRDefault="00225651" w:rsidP="00D332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баллов.</w:t>
      </w:r>
    </w:p>
    <w:p w:rsidR="00D3329A" w:rsidRDefault="00225651" w:rsidP="00D332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Конкретное количество баллов, предусмотренных по показателям с приставкой "до", устанавливается органом управления образованием по подчиненности образовательного учреждения.</w:t>
      </w:r>
    </w:p>
    <w:p w:rsidR="00D3329A" w:rsidRDefault="00225651" w:rsidP="00D332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установлении группы по оплате труда руководящих работников контингент обучающихся (воспитанников) образовательных учреждений определяется по списочному составу на начало учебного года.</w:t>
      </w:r>
    </w:p>
    <w:p w:rsidR="00D3329A" w:rsidRDefault="00225651" w:rsidP="00D332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определения суммы баллов за количество групп в дошкольных образовательных учреждениях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225651" w:rsidRDefault="00225651" w:rsidP="00D332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 руководителями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D3329A" w:rsidRDefault="00D3329A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автономного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  «Дворец творчества детей и молодежи «Северное сияние»,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оплаты труда, которого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 за счет собственных доходов городского округа "Город Хабаровск"</w:t>
      </w:r>
    </w:p>
    <w:p w:rsidR="00225651" w:rsidRDefault="00225651" w:rsidP="00225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25651" w:rsidRDefault="00225651" w:rsidP="002256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установления и размеры  надбавки </w:t>
      </w:r>
    </w:p>
    <w:p w:rsidR="00225651" w:rsidRDefault="00225651" w:rsidP="00225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 стаж непрерывной работы. 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условия выплаты надбавки за стаж непрерывной работы в образовательных учреждениях.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 условия выплаты надбавки за стаж непрерывной работы в образовательных учреждениях.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Выплата надбавки за стаж непрерывной работы в образовательных учреждениях производится дифференцированно в зависимости от периода непрерывной работы в образовательных учреждениях, дающего право на получение этой надбавки, в следующих размерах: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Руководящим работникам (кроме заместителей по административно-хозяйственной работе) при стаже непрерывной работы: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3 лет - 10%;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 до 5 лет - 20%;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 до 10 лет - 30%;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10 лет - 35%.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Педагогическим работникам (кроме учителей I - IV классов) при стаже непрерывной работы: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2 лет - 15%;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 до 5 лет - 20%;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 до 10 лет - 25%;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10 лет - 35%.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Учителям I - IV классов при стаже непрерывной работы: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5 лет - 20%;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5 лет - 35%.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Другим работникам образовательных учреждений при стаже непрерывной работы: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5 лет - до 10%;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 до 10 лет - 15%;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 до 15 лет - 20%;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15 лет - 30%.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Выплата надбавки производится ежемесячно.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2.2. Исчисление стажа работы, дающего право на получение надбавки за стаж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непрерывной работы в образовательных учреждениях.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. Для выплаты надбавки за стаж непрерывной работы в образовательных учреждениях, стаж непрерывной работы определяется по продолжительности непрерывной работы в образовательных учреждениях, центрах по работе с детьми, подростками и молодежью, подведомственных управлению образования </w:t>
      </w:r>
      <w:r>
        <w:rPr>
          <w:rFonts w:ascii="Times New Roman" w:hAnsi="Times New Roman" w:cs="Times New Roman"/>
          <w:b/>
          <w:sz w:val="24"/>
          <w:szCs w:val="24"/>
        </w:rPr>
        <w:t>(Постановление администрации города от 26.05.2014г. №2058)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стаж непрерывной работы, кроме того, включаются: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работы на выборных должностях, на постоянной основе в органах государственной власти;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военной службы граждан, если в течение года после увольнения со службы они поступи ли на работу в учреждение образования;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работы в качестве освобождаемых работников профсоюзных организаций в учреждениях образования;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учебы на курсах повышения квалификации по специальности;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время нахождения в отпуске по уходу за ребенком до достижения им возраста 3 лет.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Стаж непрерывной работы сохраняется: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увольнении в связи с переводом с работы из одного образовательного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 в другое образовательное учреждение при условии, что перерыв в работе не превысил одного месяца;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переходе с работы из муниципального учреждения – центра по работе с детьми, подростками и молодежью, подведомственный управлению образования, на работу в другое образовательное учреждение при условии, что перерыв в работе не превысит одного месяца </w:t>
      </w:r>
      <w:r>
        <w:rPr>
          <w:rFonts w:ascii="Times New Roman" w:hAnsi="Times New Roman" w:cs="Times New Roman"/>
          <w:b/>
          <w:sz w:val="24"/>
          <w:szCs w:val="24"/>
        </w:rPr>
        <w:t>(Постановление администрации города от 26.05.2014г. №2058).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 увольнении из образовательного учреждения по собственному желанию без уважительных причин стаж непрерывной работы сохраняется при условии, что перерыв в работе не превысил трех недель.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увольнении из образовательного учреждения по уважительной причине стаж непрерывной работы сохраняется независимо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продолжительности перерыва в работе при условии поступления на работу в образовательное учреждение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увольнения.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увольнения считается уважительной, если трудовой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вследствие: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необходимости ухода за больными членами семьи (при наличии медицинского заключения) или инвалидами I группы;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избрания на должности, замещаемые по конкурсу.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Стаж непрерывной работы сохраняется, если перерыв в работе не превысил двух месяцев, при поступлении на работу в другое образовательное учреждение лиц, работавших в районах Крайнего Севера и приравненных к ним местностях, после увольнения из образовательного учреждения по истечении срока трудового договора.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районах Крайнего Севера и приравненных к ним местностях, дающий право на получение надбавки, исчисляется год за год.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Стаж непрерывной работы сохраняется, если перерыв в работе не превысил трех месяцев: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поступлении на работу лиц, высвобождаемых в связи с реорганизацией или ликвидацией образовательного учреждения либо осуществлением мероприятий по сокращению численности или штата работников;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поступлении на работу в образовательное учреждение после увольнения вследствие несоответствия работника занимаемой должности или выполняемой работе по состоянию здоровья, препятствующему продолжению данной работы (согласно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медицинскому заключению).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Стаж непрерывной работы, дающий право на надбавку за продолжительность непрерывной работы в образовательных учреждениях, сохраняется пенсионерам, получающим государственную пенсию по старости, по инвалидности или за выслугу лет, независимо от продолжительности перерыва в работе.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При расторжении трудового договора беременными женщинами или матерями, имеющими детей (в том числе усыновленных или находящихся под опекой или попечительством) в возрасте до 14 лет или ребенка-инвалида в возрасте до 16 лет, стаж непрерывной работы сохраняется при условии поступления на работу до достижения ребенком указанного возраста.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Стаж непрерывной работы не сохраняется при поступлении на работу после прекращения трудового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следующим основаниям: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 (отсутствие на рабочем месте без уважительной причины более четырех часов подряд в течение рабочего дня);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появления на работе в состоянии алкогольного, наркотического или иного токсического опьянения;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возможность продолжения данной работы;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работником, выполняющим воспитательные функции, аморального проступка, не совместимого с продолжением данной работы;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представительного органа работников;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работником других виновных действий, за которые законодательством Российской Федерации предусмотрено увольнение с работы.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Во всех случаях, когда при переходе с работы из одного образовательного учреждения на работу в другое образовательное учреждение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Продолжительность стажа непрерывной работы устанавливается руководителем образовательного учреждения в соответствии с записями в трудовых книжках и (или) на основании других надлежаще оформленных документов.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Порядок установления надбавки за стаж непрерывной работы в образовательных учреждениях.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Надбавка за стаж непрерывной работы в образовательных учреждениях устанавливается приказом руководителя образовательного учреждения.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Основным документом для определения непрерывного стажа работы в образовательных учреждениях, дающего право на получение надбавки за стаж непрерывной работы в образовательных учреждениях, является трудовая книжка.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Порядок начисления и выплаты надбавки за стаж непрерывной работы в образовательных учреждениях.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Надбавка за стаж непрерывной работы в образовательных учреждениях выплачивается по основному месту работы.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Надбавка за стаж непрерывной работы в образовательных учреждениях начисляется по основной должности исходя из минимального оклада (должностного оклада) пропорционально установленной учебной нагрузке, но не выше одной ставки.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Надбавка за стаж непрерывной работы в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lastRenderedPageBreak/>
        <w:t>учитывается во всех случаях исчисления средней заработной платы.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Надбавка за стаж непрерывной работы в образовательных учреждениях выплачивается с момента возникновения права на назначение или изменение размера этой надбавки.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работника право на назначение или изменение размера надбавки за стаж непрерывной работы в образовательных учреждениях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 увольнении работника надбавка за стаж непрерывной работы в образовательных учреждениях начисляется пропорционально отработанному времени и ее выплата производится при окончательном расчете.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Порядок осуществления контроля и ответственность за соблюдение установленного порядка начисления надбавки за стаж непрерывной работы в образовательных учреждениях.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Ответственность за своевременное изменение размера надбавки за стаж непрерывной работы в образовательных учреждениях у работников образования возлагается на руководителей образовательных учреждений.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2.5.2.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Российской Федерации порядке.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29A" w:rsidRDefault="00D3329A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Приложение № 5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автономного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абаровска, «Дворец творчества детей и молодежи «Северное сияние»,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оплаты труда, которого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 за счет собственных доходов городского округа "Город Хабаровск"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spacing w:after="20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25651" w:rsidRDefault="00225651" w:rsidP="00225651">
      <w:pPr>
        <w:spacing w:after="20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персональном повышающем коэффициенте</w:t>
      </w:r>
    </w:p>
    <w:p w:rsidR="00225651" w:rsidRDefault="00225651" w:rsidP="00225651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Персональный повышающий коэффициент к окладу (должностному окладу), минимальному окладу (минимальному должностному окладу) может быть установлен работнику с учетом уровня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 Максимальный размер персонального повышающего коэффициента  - до 2,0.</w:t>
      </w:r>
    </w:p>
    <w:p w:rsidR="00225651" w:rsidRDefault="00225651" w:rsidP="00225651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об установлении персонального повышающего коэффициента к окладу и его размере принимается руководителем муниципального  учреждения персонально в отношении конкретного работника на срок выполнения поставленной задачи, работы.</w:t>
      </w:r>
    </w:p>
    <w:p w:rsidR="00225651" w:rsidRDefault="00225651" w:rsidP="00225651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651" w:rsidRDefault="00225651" w:rsidP="0022565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установления персонального повышающего коэффициента:</w:t>
      </w:r>
    </w:p>
    <w:p w:rsidR="00225651" w:rsidRDefault="00225651" w:rsidP="00225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профессиональная подготовка работника, степень его самостоятельности, инициативности и ответственности при выполнении поставленных задач, а также других факторов.</w:t>
      </w:r>
    </w:p>
    <w:p w:rsidR="00225651" w:rsidRDefault="00225651" w:rsidP="0022565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работником непредвиденных, срочных, особо важных и ответственных работ, связанных с обеспечением уставной деятельности; </w:t>
      </w:r>
    </w:p>
    <w:p w:rsidR="00225651" w:rsidRDefault="00225651" w:rsidP="0022565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мероприятий, направленных на повышение авторитета и имиджа учреждения среди населения; </w:t>
      </w:r>
    </w:p>
    <w:p w:rsidR="00225651" w:rsidRDefault="00225651" w:rsidP="0022565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участие в реализации национальных проектов, федеральных и региональных, муниципальных целевых программ, разработке и внедрении грантов, инвестиционных проектов и т.д. </w:t>
      </w:r>
    </w:p>
    <w:p w:rsidR="00225651" w:rsidRDefault="00225651" w:rsidP="0022565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Выплата персонального повышающего коэффициента устанавливается в пределах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оплаты труда работников Дворца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25651" w:rsidRDefault="00225651" w:rsidP="0022565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повышающий коэффициент к окладу устанавливается на определенный период времени в течение соответствующего календарного года и с учетом обеспечения финансовыми средствами.</w:t>
      </w:r>
    </w:p>
    <w:p w:rsidR="00225651" w:rsidRDefault="00225651" w:rsidP="00225651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повышающий коэффициент начисляется ежемесячно в пределах выделенного фонда оплаты труда на учреждение. В случае повышения заработной платы, согласно государственных и муниципальных нормативно-правовых актов, надбавки индексируются на процент повышения.</w:t>
      </w:r>
    </w:p>
    <w:p w:rsidR="00225651" w:rsidRDefault="00225651" w:rsidP="00225651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Персональный повышающий коэффициент устанавливается на определенный период времени, как основным работникам, так и работникам – совместителям.</w:t>
      </w:r>
    </w:p>
    <w:p w:rsidR="00225651" w:rsidRDefault="00225651" w:rsidP="00225651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повышающий коэффициент устанавливается в процентном отношении к должностному окладу с учетом районных коэффициентов.</w:t>
      </w:r>
    </w:p>
    <w:p w:rsidR="00225651" w:rsidRDefault="00225651" w:rsidP="00225651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персонального повышающего коэффициента может уменьшаться или полностью отменяться из-за ухудшения качества работ. Невыполнение утвержденных показателей, при наличии частых больничных листов, нарушение трудовой дисциплины (опоздания, преждевременный уход с работы, на обед, прогул и т.д., срыв сроков выполнения работы; нарушение правил техники безопасности, противопожарной безопасности и т.д.)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тменяется приказом директора Дворца.</w:t>
      </w:r>
    </w:p>
    <w:p w:rsidR="00225651" w:rsidRDefault="00225651" w:rsidP="00225651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9A" w:rsidRDefault="00D3329A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6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автономного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Хабаровска «Дворец творчества детей и молодежи «Северное сияние»,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оплаты труда, которого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 за счет собственных доходов городского округа "Город Хабаровск"</w:t>
      </w:r>
    </w:p>
    <w:p w:rsidR="00225651" w:rsidRDefault="00225651" w:rsidP="00225651">
      <w:pPr>
        <w:spacing w:after="20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ind w:left="59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директора МАУ ДО «ДТДиМ Северное сияние»</w:t>
      </w:r>
    </w:p>
    <w:p w:rsidR="00225651" w:rsidRDefault="00225651" w:rsidP="00225651">
      <w:pPr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______ №_____</w:t>
      </w:r>
    </w:p>
    <w:p w:rsidR="00225651" w:rsidRDefault="00225651" w:rsidP="002256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25651" w:rsidRDefault="00225651" w:rsidP="002256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порядке и условиях установления стимулирующих выплат работникам МАУ ДО «ДТДиМ «Северное сияние», подведомственного управлению образования, финансирование оплаты труда работников, которого осуществляется за счет собственных доходов городского округа «Город Хабаровск»</w:t>
      </w:r>
    </w:p>
    <w:p w:rsidR="00225651" w:rsidRDefault="00225651" w:rsidP="00225651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об установлении выплат стимулирующего характера и критерии установления стимулирующих выплат работникам  МАУ ДО «ДТДиМ «Северное сияние» разработано на основании следующих документов: Трудового кодекса Российской Федерации, Федеральных законов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соответствие  с Постановлением администрации города Хабаровска от 09.07.2009 г.  № 2378 «О введении в муниципальных образовательных учреждениях,  финансирование оплаты труда работников которых осуществляется за счет собственных доходов городского округа «Город  Хабаровск».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разработано в целях обеспечения единого подхода в вопросах внедрения новой системы оплаты труда и повышения мотивации работников Дворца к высокой результативности и качеству труда.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  Фонд оплаты стимулирующих выплат формируется на календарный год, исходя из утвержденного объема лимита бюджетных обязательств.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определяет размеры, порядок и условия осуществления поощрительных выплат по результатам труда для основных категорий работников, работников административно-управленческого персонала,  младшего обслуживающего персонала.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Порядок распределения стимулирующих выплат работникам </w:t>
      </w:r>
    </w:p>
    <w:p w:rsidR="00225651" w:rsidRDefault="00225651" w:rsidP="002256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МАУ ДО  «ДТДиМ «Северное сияние»</w:t>
      </w:r>
    </w:p>
    <w:p w:rsidR="00225651" w:rsidRDefault="00225651" w:rsidP="00225651">
      <w:pPr>
        <w:spacing w:after="2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Стимулирующие выплаты направлены на усиление мотивации работников Дворца к высокой результативности и качеству труда. 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  В соответствии с перечнем видов выплат стимулирующего характера в муниципальных бюджетных учреждениях, утвержденным муниципальным правовым актом, работникам Дворца устанавливаются следующие виды выплат: </w:t>
      </w:r>
    </w:p>
    <w:p w:rsidR="00225651" w:rsidRDefault="00225651" w:rsidP="00225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надбавка за стаж непрерывной работы  </w:t>
      </w:r>
      <w:r>
        <w:rPr>
          <w:rFonts w:ascii="Times New Roman" w:hAnsi="Times New Roman" w:cs="Times New Roman"/>
          <w:sz w:val="24"/>
          <w:szCs w:val="24"/>
        </w:rPr>
        <w:t>в Центрах по работе с детьми, подростками и молодежью, подведомственных управлению образования;</w:t>
      </w:r>
    </w:p>
    <w:p w:rsidR="00225651" w:rsidRDefault="00225651" w:rsidP="00225651">
      <w:pPr>
        <w:numPr>
          <w:ilvl w:val="0"/>
          <w:numId w:val="2"/>
        </w:num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наличие ученой степени, звания «заслуженный», «народный»;</w:t>
      </w:r>
    </w:p>
    <w:p w:rsidR="00225651" w:rsidRDefault="00225651" w:rsidP="00225651">
      <w:pPr>
        <w:numPr>
          <w:ilvl w:val="0"/>
          <w:numId w:val="2"/>
        </w:num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наличие  значка «Отличник народного просвещения», Почетный работник народного образования  Российской Федерации; за Почетную грамоту Министерства образования Российской Федерации;</w:t>
      </w:r>
    </w:p>
    <w:p w:rsidR="00225651" w:rsidRDefault="00225651" w:rsidP="00225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профессиональное мастерство, классность;</w:t>
      </w:r>
    </w:p>
    <w:p w:rsidR="00225651" w:rsidRDefault="00225651" w:rsidP="00225651">
      <w:pPr>
        <w:numPr>
          <w:ilvl w:val="0"/>
          <w:numId w:val="3"/>
        </w:num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интенсивность и  высокие  результаты работы;</w:t>
      </w:r>
    </w:p>
    <w:p w:rsidR="00225651" w:rsidRDefault="00225651" w:rsidP="00225651">
      <w:pPr>
        <w:numPr>
          <w:ilvl w:val="0"/>
          <w:numId w:val="3"/>
        </w:num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качество выполняемых работ;</w:t>
      </w:r>
    </w:p>
    <w:p w:rsidR="00225651" w:rsidRDefault="00225651" w:rsidP="00225651">
      <w:pPr>
        <w:numPr>
          <w:ilvl w:val="0"/>
          <w:numId w:val="3"/>
        </w:num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применение в работе достижений науки и передовых методов труда;</w:t>
      </w:r>
    </w:p>
    <w:p w:rsidR="00225651" w:rsidRDefault="00225651" w:rsidP="00225651">
      <w:pPr>
        <w:numPr>
          <w:ilvl w:val="0"/>
          <w:numId w:val="3"/>
        </w:num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работы;</w:t>
      </w:r>
    </w:p>
    <w:p w:rsidR="00225651" w:rsidRDefault="00225651" w:rsidP="00225651">
      <w:pPr>
        <w:numPr>
          <w:ilvl w:val="0"/>
          <w:numId w:val="3"/>
        </w:num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 за выполнение особо важных и срочных работ.</w:t>
      </w:r>
    </w:p>
    <w:p w:rsidR="00225651" w:rsidRDefault="00225651" w:rsidP="00225651">
      <w:pPr>
        <w:spacing w:after="20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Порядок выплаты надбавки </w:t>
      </w:r>
    </w:p>
    <w:p w:rsidR="00225651" w:rsidRDefault="00225651" w:rsidP="00225651">
      <w:pPr>
        <w:spacing w:after="20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стимулирующего характера для работников Дворца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Выплаты стимулирующих надбавок осуществляются с учетом выполнения работниками Дворца перечня показателей, характеризующих эффективность и качество работы во Дворце в соответствии с их личным вкладом в общие результаты.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Источником информации о деятельности работника являются анализ деятельности на основании планов и отчетов работы, результатов  наблюдений, анкетирования, экспертной оценки деятельности.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полученной информации заполняются таблицы оценки деятельности работника, подсчитывается количество баллов.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выполнения  работниками показателей выплаты надбавок стимулирующего характера производится экспертной комиссией Дворца ежемесячно с учетом выполнения показателей эффективности работы.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 комиссии утверждается приказом директора Дворца. 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Экспертная  комиссия представляет директору Дворца отчет не позднее 20 числа следующего за отчетным месяцем.   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    Результаты работы экспертной комиссии предоставляются директору как основание  для согласования стимулирующих выплат работникам Дворца и издания приказа.</w:t>
      </w:r>
    </w:p>
    <w:p w:rsidR="00225651" w:rsidRDefault="00225651" w:rsidP="00225651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показатели работника не отвечают  установленным критериям и сложилась отрицательная динамика работы, размер стимулирующей надбавки может быть изменен с учетом оценочной системы показателей эффективности работы приказом директора Дворца по письменному представлению членов комиссии Дворца до 20 числа, следующего за отчетным месяцем.</w:t>
      </w:r>
    </w:p>
    <w:p w:rsidR="00225651" w:rsidRDefault="00225651" w:rsidP="00D3329A">
      <w:pPr>
        <w:spacing w:after="20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Устанавливается следующий порядок определения размера стимулирующих выплат:</w:t>
      </w:r>
    </w:p>
    <w:p w:rsidR="00225651" w:rsidRDefault="00225651" w:rsidP="00D3329A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-    стоимость 1 балла устанавливается комиссией по распределению стимулирующих выплат (утверждается приказом по учреждению) в фиксированной сумме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25651" w:rsidRDefault="00225651" w:rsidP="00D3329A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подсчет баллов, полученных работниками Дворца при оценке их профессиональной деятельности;</w:t>
      </w:r>
    </w:p>
    <w:p w:rsidR="00225651" w:rsidRDefault="00225651" w:rsidP="00D3329A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вес умножается на сумму баллов каждого работника, в результате чего определяется размер стимулирующих выплат работнику за месяц;</w:t>
      </w:r>
    </w:p>
    <w:p w:rsidR="00225651" w:rsidRDefault="00225651" w:rsidP="00D3329A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стимулирующие выплаты могут устанавливаться: ежемесячно, один раз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раз в год.</w:t>
      </w:r>
    </w:p>
    <w:p w:rsidR="00225651" w:rsidRDefault="00225651" w:rsidP="00D3329A">
      <w:pPr>
        <w:numPr>
          <w:ilvl w:val="1"/>
          <w:numId w:val="5"/>
        </w:numPr>
        <w:spacing w:after="200" w:line="240" w:lineRule="auto"/>
        <w:ind w:left="-28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Выплаты стимулирующего характера в соответствии с критериями  для             установления стимулирующих выплат при качественном выполнении должностных обязанностей работникам учреждения устанавливаются в стоимостном выражении (в баллах). </w:t>
      </w:r>
    </w:p>
    <w:p w:rsidR="00225651" w:rsidRDefault="00225651" w:rsidP="00D3329A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Начисление надбавок производится бухгалтерией, на основании приказа по учреждению. Начисление надбавок производится ежемесячно за фактически отработанное время. К стимулирующей надбавке применяются коэффициенты, предусмотренные федеральным законодательством (районный коэффициент и коэффициент за работу в южных районах Дальнего Востока).</w:t>
      </w:r>
    </w:p>
    <w:p w:rsidR="00225651" w:rsidRDefault="00225651" w:rsidP="00D3329A">
      <w:pPr>
        <w:spacing w:after="20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 При нарушении трудовой, финансовой, исполнительской дисциплины, невыполнения плана работы, не укомплектовании  групп в соответствии с  планом комплектования и муниципальным заказом, других нарушениях работник полностью или частично лишается стимулирующей надбавки на 1 месяц независимо от выполнения показателей стимулирующих надбавок. </w:t>
      </w:r>
    </w:p>
    <w:p w:rsidR="00225651" w:rsidRDefault="00225651" w:rsidP="00D332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доплат и надбавок осуществляется по следующим причинам:</w:t>
      </w:r>
    </w:p>
    <w:p w:rsidR="00225651" w:rsidRDefault="00225651" w:rsidP="00D3329A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действия надбавки;</w:t>
      </w:r>
    </w:p>
    <w:p w:rsidR="00225651" w:rsidRDefault="00225651" w:rsidP="00D3329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выполнения дополнительных работ, за которые были определены доплаты;</w:t>
      </w:r>
    </w:p>
    <w:p w:rsidR="00225651" w:rsidRDefault="00225651" w:rsidP="00D3329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качества работы, за которые были определены надбавки;</w:t>
      </w:r>
    </w:p>
    <w:p w:rsidR="00225651" w:rsidRDefault="00225651" w:rsidP="00D3329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работника от выполнения работы, за которые были определены доплаты </w:t>
      </w:r>
    </w:p>
    <w:p w:rsidR="00225651" w:rsidRDefault="00225651" w:rsidP="00D3329A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D332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Ознакомление работников Дворца по результатам полученных баллов,   производится ежемесячно в течение 3-х дней после заседания экспертной комиссии (результаты вывешиваются на информационном стенде).</w:t>
      </w:r>
    </w:p>
    <w:p w:rsidR="00225651" w:rsidRDefault="00225651" w:rsidP="00225651">
      <w:pPr>
        <w:spacing w:after="20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Показатели и условия выплаты надбавки </w:t>
      </w:r>
    </w:p>
    <w:p w:rsidR="00225651" w:rsidRDefault="00225651" w:rsidP="00225651">
      <w:pPr>
        <w:spacing w:after="20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стимулирующего характера для работников Дворца</w:t>
      </w:r>
    </w:p>
    <w:p w:rsidR="00225651" w:rsidRDefault="00225651" w:rsidP="00D3329A">
      <w:pPr>
        <w:spacing w:line="240" w:lineRule="auto"/>
        <w:ind w:left="-85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Выплаты стимулирующих надбавок осуществляются с учетом выполнения  </w:t>
      </w:r>
    </w:p>
    <w:p w:rsidR="00225651" w:rsidRDefault="00225651" w:rsidP="00D3329A">
      <w:pPr>
        <w:spacing w:line="240" w:lineRule="auto"/>
        <w:ind w:left="-85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работником перечня показателей, характеризующих эффективность и качество  </w:t>
      </w:r>
    </w:p>
    <w:p w:rsidR="00225651" w:rsidRDefault="00225651" w:rsidP="00D3329A">
      <w:pPr>
        <w:spacing w:line="240" w:lineRule="auto"/>
        <w:ind w:left="-851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работы.</w:t>
      </w:r>
    </w:p>
    <w:p w:rsidR="00225651" w:rsidRDefault="00225651" w:rsidP="00D3329A">
      <w:pPr>
        <w:spacing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Выплаты за наличие ученой степени устанавливается в размере 10%</w:t>
      </w:r>
    </w:p>
    <w:p w:rsidR="00225651" w:rsidRDefault="00225651" w:rsidP="00D332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наличие звания выплачивается ежемесячная стимулирующая надбавка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25651" w:rsidRDefault="00225651" w:rsidP="00D33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651" w:rsidRDefault="00225651" w:rsidP="00D3329A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почетное звание СССР или Российской Федерации «Отличник народного просвещения», «Почетный работник общего образования», соответствующее профилю выполняемой работы – 1 балл (300 рублей);</w:t>
      </w:r>
    </w:p>
    <w:p w:rsidR="00225651" w:rsidRDefault="00225651" w:rsidP="00D3329A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Почетную грамоту Министерства образования РФ – 500 рублей.</w:t>
      </w:r>
    </w:p>
    <w:p w:rsidR="00225651" w:rsidRDefault="00225651" w:rsidP="00D3329A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звания «заслуженный», «народный» - 20% к окладу, базовому окладу</w:t>
      </w:r>
    </w:p>
    <w:p w:rsidR="00D3329A" w:rsidRDefault="00D3329A" w:rsidP="00D3329A">
      <w:pPr>
        <w:spacing w:after="200" w:line="276" w:lineRule="auto"/>
        <w:ind w:firstLine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Критерии для установления стимулирующих выплат</w:t>
      </w:r>
    </w:p>
    <w:p w:rsidR="001203A1" w:rsidRDefault="00E43A7C" w:rsidP="001203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работникам  мАУ ДО  «дтдИ</w:t>
      </w:r>
      <w:r w:rsidR="002256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 </w:t>
      </w:r>
    </w:p>
    <w:p w:rsidR="00225651" w:rsidRDefault="001203A1" w:rsidP="001203A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2256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«северное сияние»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5651" w:rsidRDefault="00225651" w:rsidP="00225651">
      <w:pPr>
        <w:numPr>
          <w:ilvl w:val="0"/>
          <w:numId w:val="8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 - управленческий персонал</w:t>
      </w:r>
    </w:p>
    <w:p w:rsidR="00225651" w:rsidRDefault="00225651" w:rsidP="00225651">
      <w:pPr>
        <w:numPr>
          <w:ilvl w:val="1"/>
          <w:numId w:val="9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директора  по учебно-воспитательной работе  (УВР)  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выплаты ежемесячных стимулирующих надбавок</w:t>
      </w:r>
    </w:p>
    <w:tbl>
      <w:tblPr>
        <w:tblW w:w="0" w:type="auto"/>
        <w:tblLook w:val="04A0"/>
      </w:tblPr>
      <w:tblGrid>
        <w:gridCol w:w="2152"/>
        <w:gridCol w:w="2310"/>
        <w:gridCol w:w="1584"/>
        <w:gridCol w:w="1906"/>
        <w:gridCol w:w="1619"/>
      </w:tblGrid>
      <w:tr w:rsidR="00225651" w:rsidTr="00225651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измерения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оценивания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критерия (баллы)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5651" w:rsidTr="00225651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Качество дополнительных образовательных услуг</w:t>
            </w: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определенной учреждению нормы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Организация мониторинга образовательного процесса, в т.ч.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Наличие призеров и победителей смотров, конкурсов не ниже городского уровня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</w:t>
            </w: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</w:t>
            </w:r>
          </w:p>
        </w:tc>
      </w:tr>
      <w:tr w:rsidR="00225651" w:rsidTr="00225651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2.Инновационная деятельность.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открытость и эффективность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экспериментальной деятельности, разработка и внедрение авторских программ, новых форм, методов и технологий. 2.2.Обобщение и распространение передового педагогического опыта на уровне города, края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обновлением информации по результатам образовательной деятельности на сайте  Дворца и сайте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</w:t>
            </w:r>
          </w:p>
        </w:tc>
      </w:tr>
      <w:tr w:rsidR="00225651" w:rsidTr="00225651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процедуры аттестации педагогических кадров в соответствии с Положением и планом работы (отсутствие снижения показателей)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3.2.Качественная подготовка педагогических кадров к участию в профессиональных конкурсах.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выполнения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  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</w:t>
            </w:r>
          </w:p>
        </w:tc>
      </w:tr>
      <w:tr w:rsidR="00225651" w:rsidTr="00225651">
        <w:trPr>
          <w:trHeight w:val="222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государственно-общественного характера управления в «ДТДиМ»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 с родительской общественностью, органами детского самоуправления ДТДиМ.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</w:t>
            </w:r>
          </w:p>
        </w:tc>
      </w:tr>
      <w:tr w:rsidR="00225651" w:rsidTr="00225651">
        <w:trPr>
          <w:trHeight w:val="3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       </w:t>
            </w: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25651" w:rsidRDefault="00225651" w:rsidP="00225651">
      <w:pPr>
        <w:numPr>
          <w:ilvl w:val="1"/>
          <w:numId w:val="9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административно-хозяйственной работе (АХР)</w:t>
      </w:r>
    </w:p>
    <w:p w:rsidR="00225651" w:rsidRDefault="00225651" w:rsidP="00225651">
      <w:pPr>
        <w:pStyle w:val="a7"/>
        <w:spacing w:line="240" w:lineRule="auto"/>
        <w:ind w:left="750"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Показатели выплаты ежемесячных стимулирующих надбавок</w:t>
      </w:r>
    </w:p>
    <w:tbl>
      <w:tblPr>
        <w:tblpPr w:leftFromText="180" w:rightFromText="180" w:bottomFromText="200" w:vertAnchor="text" w:tblpY="14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728"/>
        <w:gridCol w:w="1874"/>
        <w:gridCol w:w="2013"/>
        <w:gridCol w:w="1505"/>
      </w:tblGrid>
      <w:tr w:rsidR="00225651" w:rsidTr="00225651">
        <w:trPr>
          <w:trHeight w:val="92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выплаты при достижении условий ее осуществления (баллы)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225651" w:rsidTr="00225651">
        <w:trPr>
          <w:trHeight w:val="9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Надбавка стимулирующего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установленных правил и требований  СНИП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предписаний РОСТЕХ надзора, пожарного надзора, СЭС.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оценка комиссии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помещений Дворца современным техническим оборудованием, наглядными пособиями, а так же его безопасное использование.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оценка комиссии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Стабильный уровень поддержания в надлежащем состоянии зоны хозяйственного обслуживания,  безаварийное функционирование  жизнеобеспечивающих узлов здания.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организация и проведение внутренних и наружных ремонтных работ помещений Дворца.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факту организации и проведения данных работ. </w:t>
            </w:r>
          </w:p>
        </w:tc>
      </w:tr>
      <w:tr w:rsidR="00225651" w:rsidTr="00225651">
        <w:trPr>
          <w:trHeight w:val="9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и сдача учреждения к новому учебному году.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25651" w:rsidTr="00225651">
        <w:trPr>
          <w:trHeight w:val="14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прохождением курсовой подготовки по пожарной безопасности, гражданской обороне.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оценка комиссии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5651" w:rsidTr="00225651">
        <w:trPr>
          <w:trHeight w:val="3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ИТОГО: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203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Главный бухгалтер.</w:t>
      </w: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выплаты ежемесячных стимулирующих надбавок</w:t>
      </w:r>
    </w:p>
    <w:p w:rsidR="00225651" w:rsidRDefault="00225651" w:rsidP="0022565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98"/>
        <w:gridCol w:w="3296"/>
        <w:gridCol w:w="2133"/>
        <w:gridCol w:w="1574"/>
        <w:gridCol w:w="1585"/>
      </w:tblGrid>
      <w:tr w:rsidR="00225651" w:rsidTr="00225651">
        <w:trPr>
          <w:trHeight w:val="653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 максимальный  размер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225651" w:rsidTr="00225651">
        <w:trPr>
          <w:trHeight w:val="4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Надбавка стимулирующего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материалов отчетной документации по финансовой деятельности  Дворца (Информационно-аналитическая справка).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комиссии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в процессе работы ПК,  знание специализированных программ, современных методик бухгалтерского учета, экономического анализа и их использование на практике.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комиссии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средств, наличие предложений по их эффективному использованию.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комиссии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</w:tr>
      <w:tr w:rsidR="00225651" w:rsidTr="00225651">
        <w:trPr>
          <w:trHeight w:val="117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анализ дебиторской и кредиторской задолженности по расчетам за полученные товары и услуги.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комиссии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39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ведение документации, использование баз данных, процедур хранения, передачи, обработки информации.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84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учета целевых договоров и контрактов.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комиссии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введение в работу законодательных нововведений и нормативных документов.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объема обязанностей (социальное страхование, архивное дело)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</w:tr>
    </w:tbl>
    <w:p w:rsidR="00225651" w:rsidRDefault="00225651" w:rsidP="00225651">
      <w:pPr>
        <w:tabs>
          <w:tab w:val="left" w:pos="782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1203A1" w:rsidP="00225651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225651">
        <w:rPr>
          <w:rFonts w:ascii="Times New Roman" w:hAnsi="Times New Roman" w:cs="Times New Roman"/>
          <w:b/>
          <w:sz w:val="24"/>
          <w:szCs w:val="24"/>
        </w:rPr>
        <w:t xml:space="preserve"> Бухгалтер. 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выплаты ежемесячных стимулирующих надбавок</w:t>
      </w:r>
    </w:p>
    <w:tbl>
      <w:tblPr>
        <w:tblpPr w:leftFromText="180" w:rightFromText="180" w:vertAnchor="text" w:horzAnchor="page" w:tblpX="989" w:tblpY="443"/>
        <w:tblW w:w="10566" w:type="dxa"/>
        <w:tblLook w:val="01E0"/>
      </w:tblPr>
      <w:tblGrid>
        <w:gridCol w:w="1124"/>
        <w:gridCol w:w="3424"/>
        <w:gridCol w:w="2098"/>
        <w:gridCol w:w="2020"/>
        <w:gridCol w:w="1900"/>
      </w:tblGrid>
      <w:tr w:rsidR="00225651" w:rsidTr="00225651">
        <w:trPr>
          <w:trHeight w:val="427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Наименование выплаты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 максимальный  размер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225651" w:rsidTr="0022565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Надбавка стимулирующего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качественная отчетность перед учредительной организацией, ФСС, ПФР по итогом месяца, квартала, календарного года. (Информационно-аналитическая справка)  по-своему направлению деятельности.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Расширения объема обязанностей (работа с ФСС, ПФР, ЦБ, казначейскими учреждениями, банковскими организациями, архивное дело, ведение учета  оздоровительной компании, городских мероприятий)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78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tabs>
                <w:tab w:val="left" w:pos="782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кассовых операций.</w:t>
            </w:r>
          </w:p>
          <w:p w:rsidR="00225651" w:rsidRDefault="00225651">
            <w:pPr>
              <w:tabs>
                <w:tab w:val="left" w:pos="782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45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tabs>
                <w:tab w:val="left" w:pos="7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tabs>
                <w:tab w:val="left" w:pos="7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tabs>
                <w:tab w:val="left" w:pos="7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651" w:rsidRDefault="00225651" w:rsidP="00225651">
      <w:pPr>
        <w:tabs>
          <w:tab w:val="left" w:pos="78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Педагогические сотрудники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Педагоги дополнительного образования, концертмейстеры.</w:t>
      </w:r>
    </w:p>
    <w:p w:rsidR="00225651" w:rsidRDefault="00225651" w:rsidP="002256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выплаты ежемесячных стимулирующих надбавок</w:t>
      </w:r>
    </w:p>
    <w:tbl>
      <w:tblPr>
        <w:tblpPr w:leftFromText="180" w:rightFromText="180" w:vertAnchor="text" w:horzAnchor="margin" w:tblpXSpec="center" w:tblpY="199"/>
        <w:tblW w:w="10212" w:type="dxa"/>
        <w:tblLayout w:type="fixed"/>
        <w:tblLook w:val="04A0"/>
      </w:tblPr>
      <w:tblGrid>
        <w:gridCol w:w="2269"/>
        <w:gridCol w:w="1560"/>
        <w:gridCol w:w="3262"/>
        <w:gridCol w:w="1522"/>
        <w:gridCol w:w="1599"/>
      </w:tblGrid>
      <w:tr w:rsidR="00225651" w:rsidTr="00225651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225651" w:rsidTr="0022565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.Выполнение муниципального задания.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28.05.2014 № 30/1«Об утверждении Положения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порядке и условиях установления стимулирующих выплат работникам МАУ ДОД «ДТДиМ «Северное сияние»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и сохранность контингента в детском объединении: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1.1.Соответствие числа учащихся нормативному количеству.</w:t>
            </w:r>
          </w:p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полугодие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</w:tc>
      </w:tr>
      <w:tr w:rsidR="00225651" w:rsidTr="0022565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1.2.Количество детей выше норматива.</w:t>
            </w:r>
          </w:p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полугодие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225651" w:rsidTr="002256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.Успешность освоения учащимися образовательной программы.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 учащихся, имеющих положительную динамику достижения планируемых результатов освоения образовательной программы.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До 15</w:t>
            </w:r>
          </w:p>
        </w:tc>
      </w:tr>
      <w:tr w:rsidR="00225651" w:rsidTr="0022565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.Наличие и выполнение плана воспитательной деятельности.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Качественное выполнение плана воспитательных мероприятий в своем объединении (охват не менее 40% от состава объединения)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651" w:rsidTr="0022565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Продуктивное участие детей в воспитательных, социо-культурных  проектах Дворца, округа, города.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 10</w:t>
            </w:r>
          </w:p>
        </w:tc>
      </w:tr>
      <w:tr w:rsidR="00225651" w:rsidTr="0022565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3.3.Мероприятия, проводимые совместно с родителями.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</w:tr>
      <w:tr w:rsidR="00225651" w:rsidTr="0022565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.Результативность участия учащихся в мероприятиях различного уровня.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Наличие победителей, призеров конкурсов, фестивалей, соревнований различного уровня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Дворец</w:t>
            </w:r>
          </w:p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округ, город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 факту получения призовых мест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651" w:rsidTr="0022565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учащихся, участвующих в мероприятиях различного уровня от общего количества учащихся в объединении.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 10</w:t>
            </w:r>
          </w:p>
        </w:tc>
      </w:tr>
      <w:tr w:rsidR="00225651" w:rsidTr="0022565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.Участие в системе методической, исследовательской, научной, творческой работе.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5.1.Наличие выступлений на МО, педсоветах, мастер–классах,  конференциях, педагогических, чтениях, деятельность ПДО в области социализации обучающегося.  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 5</w:t>
            </w:r>
          </w:p>
        </w:tc>
      </w:tr>
      <w:tr w:rsidR="00225651" w:rsidTr="0022565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5.2.Наличие выступлений в СМИ, своевременное обновление информации о своем коллективе на сайте учреждения.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До 10</w:t>
            </w:r>
          </w:p>
        </w:tc>
      </w:tr>
      <w:tr w:rsidR="00225651" w:rsidTr="0022565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5.3.Обновление банка учебно-дидактических и информационно-методических материалов для обеспечения образовательного процесса.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До 10</w:t>
            </w:r>
          </w:p>
        </w:tc>
      </w:tr>
      <w:tr w:rsidR="00225651" w:rsidTr="0022565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5.4.Использование в работе современных образовательных технологий.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До 10</w:t>
            </w:r>
          </w:p>
        </w:tc>
      </w:tr>
      <w:tr w:rsidR="00225651" w:rsidTr="00225651">
        <w:trPr>
          <w:trHeight w:val="30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 наличие звания «Почетный работник общего образования», «Отличник народного образования», «Отличник народного просвещения»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1.Наличие удостоверения к отраслевой награде.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25651" w:rsidTr="00225651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До 105</w:t>
            </w: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3A1" w:rsidRDefault="001203A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3A1" w:rsidRDefault="001203A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3A1" w:rsidRDefault="00225651" w:rsidP="00225651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2.2.Педагог-психолог.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выплаты ежемесячных стимулирующих надбавок</w:t>
      </w:r>
    </w:p>
    <w:tbl>
      <w:tblPr>
        <w:tblW w:w="10344" w:type="dxa"/>
        <w:tblInd w:w="-459" w:type="dxa"/>
        <w:tblLayout w:type="fixed"/>
        <w:tblLook w:val="04A0"/>
      </w:tblPr>
      <w:tblGrid>
        <w:gridCol w:w="2409"/>
        <w:gridCol w:w="2125"/>
        <w:gridCol w:w="2976"/>
        <w:gridCol w:w="1558"/>
        <w:gridCol w:w="1276"/>
      </w:tblGrid>
      <w:tr w:rsidR="00225651" w:rsidTr="0022565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225651" w:rsidTr="002256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диагностика, способствующая определению факторов по развитию личности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28.05.2014 № 30/1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порядке и условиях установления стимулирующих выплат работникам МАУ ДОД «ДТДиМ «Северное сияние»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numPr>
                <w:ilvl w:val="0"/>
                <w:numId w:val="12"/>
              </w:numPr>
              <w:spacing w:line="240" w:lineRule="auto"/>
              <w:ind w:left="45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заключения по материалам диагностик. </w:t>
            </w:r>
          </w:p>
          <w:p w:rsidR="00225651" w:rsidRDefault="00225651">
            <w:pPr>
              <w:numPr>
                <w:ilvl w:val="0"/>
                <w:numId w:val="12"/>
              </w:numPr>
              <w:spacing w:line="240" w:lineRule="auto"/>
              <w:ind w:left="45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работе современных образовательных технологий, включая информационные, цифровые образовательные ресурсы.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по профилактике возникновения социальной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numPr>
                <w:ilvl w:val="0"/>
                <w:numId w:val="13"/>
              </w:numPr>
              <w:spacing w:line="240" w:lineRule="auto"/>
              <w:ind w:left="45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Превентивные мероприятия по гармонизации социальной сферы учреждения. </w:t>
            </w:r>
          </w:p>
          <w:p w:rsidR="00225651" w:rsidRDefault="00225651">
            <w:pPr>
              <w:numPr>
                <w:ilvl w:val="0"/>
                <w:numId w:val="13"/>
              </w:numPr>
              <w:spacing w:line="240" w:lineRule="auto"/>
              <w:ind w:left="45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причин конфликтных ситуаций, профилактика их разрешения.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Психологическая поддержка творчески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numPr>
                <w:ilvl w:val="0"/>
                <w:numId w:val="14"/>
              </w:numPr>
              <w:spacing w:line="240" w:lineRule="auto"/>
              <w:ind w:left="459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среды, составление карт личностного роста;</w:t>
            </w:r>
          </w:p>
          <w:p w:rsidR="00225651" w:rsidRDefault="00225651">
            <w:pPr>
              <w:numPr>
                <w:ilvl w:val="0"/>
                <w:numId w:val="15"/>
              </w:numPr>
              <w:spacing w:line="240" w:lineRule="auto"/>
              <w:ind w:left="45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образовательной деятельности педагогических работников;</w:t>
            </w:r>
          </w:p>
          <w:p w:rsidR="00225651" w:rsidRDefault="00225651">
            <w:pPr>
              <w:numPr>
                <w:ilvl w:val="0"/>
                <w:numId w:val="15"/>
              </w:numPr>
              <w:spacing w:line="240" w:lineRule="auto"/>
              <w:ind w:left="45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достижений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психологической культуры учащихся, педагогических работников и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numPr>
                <w:ilvl w:val="0"/>
                <w:numId w:val="16"/>
              </w:numPr>
              <w:spacing w:line="240" w:lineRule="auto"/>
              <w:ind w:left="45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социально-психологических тренингов общения.</w:t>
            </w:r>
          </w:p>
          <w:p w:rsidR="00225651" w:rsidRDefault="00225651">
            <w:pPr>
              <w:numPr>
                <w:ilvl w:val="0"/>
                <w:numId w:val="16"/>
              </w:numPr>
              <w:spacing w:line="240" w:lineRule="auto"/>
              <w:ind w:left="45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системе методической работы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numPr>
                <w:ilvl w:val="0"/>
                <w:numId w:val="17"/>
              </w:num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объединений, публикации в СМИ, выступление на конференциях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rPr>
          <w:trHeight w:val="10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 наличие звания «Почетный работник общего образования», «Отличник  просвещения»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numPr>
                <w:ilvl w:val="0"/>
                <w:numId w:val="18"/>
              </w:numPr>
              <w:spacing w:line="240" w:lineRule="auto"/>
              <w:ind w:left="45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к отраслевой награде.</w:t>
            </w:r>
          </w:p>
          <w:p w:rsidR="00225651" w:rsidRDefault="00225651">
            <w:pPr>
              <w:spacing w:line="240" w:lineRule="auto"/>
              <w:ind w:left="45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left="459" w:firstLine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651" w:rsidTr="00225651">
        <w:trPr>
          <w:trHeight w:val="63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33</w:t>
            </w: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2.3.Педагог – организатор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выплаты ежемесячных стимулирующих надбавок</w:t>
      </w:r>
    </w:p>
    <w:tbl>
      <w:tblPr>
        <w:tblW w:w="10212" w:type="dxa"/>
        <w:tblInd w:w="-318" w:type="dxa"/>
        <w:tblLayout w:type="fixed"/>
        <w:tblLook w:val="04A0"/>
      </w:tblPr>
      <w:tblGrid>
        <w:gridCol w:w="2411"/>
        <w:gridCol w:w="1986"/>
        <w:gridCol w:w="2553"/>
        <w:gridCol w:w="1560"/>
        <w:gridCol w:w="1702"/>
      </w:tblGrid>
      <w:tr w:rsidR="00225651" w:rsidTr="00225651">
        <w:trPr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225651" w:rsidTr="0022565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.Высокий уровень организации и проведения воспитательных мероприятий и содержательного досуга учащихся во Дворце и городе.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28.05.2014 № 30/1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порядке и условиях установления стимулирующих выплат работникам МАУ ДОД «ДТДиМ «Северное сияние»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1.1Количественные  показатели участия детей в мероприятиях и «обратная связь» с участниками (отзывы, анкетные листы, «настроения»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100 детей;</w:t>
            </w:r>
          </w:p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100 детей.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25651" w:rsidTr="0022565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Активное включение детей в реализацию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Дворца по направлениям:</w:t>
            </w:r>
          </w:p>
          <w:p w:rsidR="00225651" w:rsidRDefault="00225651">
            <w:pPr>
              <w:numPr>
                <w:ilvl w:val="0"/>
                <w:numId w:val="20"/>
              </w:numPr>
              <w:spacing w:line="240" w:lineRule="auto"/>
              <w:ind w:left="318"/>
              <w:contextualSpacing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приобщение к здоровому образу жизни;</w:t>
            </w:r>
          </w:p>
          <w:p w:rsidR="00225651" w:rsidRDefault="00225651">
            <w:pPr>
              <w:numPr>
                <w:ilvl w:val="0"/>
                <w:numId w:val="20"/>
              </w:numPr>
              <w:spacing w:line="240" w:lineRule="auto"/>
              <w:ind w:left="318"/>
              <w:contextualSpacing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гражданско-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патриотическое;</w:t>
            </w:r>
          </w:p>
          <w:p w:rsidR="00225651" w:rsidRDefault="00225651">
            <w:pPr>
              <w:numPr>
                <w:ilvl w:val="0"/>
                <w:numId w:val="20"/>
              </w:numPr>
              <w:spacing w:line="240" w:lineRule="auto"/>
              <w:ind w:left="318"/>
              <w:contextualSpacing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правовое воспитание детей и подростков;</w:t>
            </w:r>
          </w:p>
          <w:p w:rsidR="00225651" w:rsidRDefault="00225651">
            <w:pPr>
              <w:numPr>
                <w:ilvl w:val="0"/>
                <w:numId w:val="20"/>
              </w:numPr>
              <w:spacing w:line="240" w:lineRule="auto"/>
              <w:ind w:left="318"/>
              <w:contextualSpacing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профессиональная ориентация;</w:t>
            </w:r>
          </w:p>
          <w:p w:rsidR="00225651" w:rsidRDefault="00225651">
            <w:pPr>
              <w:numPr>
                <w:ilvl w:val="0"/>
                <w:numId w:val="20"/>
              </w:numPr>
              <w:spacing w:line="240" w:lineRule="auto"/>
              <w:ind w:left="31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Привлечение семьи к активному воспитанию ребенка.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воспитательных мероприятий по реализации проектов Дворца: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направлению деятельности;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25651" w:rsidTr="0022565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нескольким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Ежемесячно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 </w:t>
            </w:r>
          </w:p>
        </w:tc>
      </w:tr>
      <w:tr w:rsidR="00225651" w:rsidTr="002256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активно-содержательного отдыха в каникулярное время и оздоровление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профильных смен. Волонтерских отрядов,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(вечеров, экскурсий, конкурсов и т.д.)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каникулярной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  <w:p w:rsidR="00225651" w:rsidRDefault="00225651">
            <w:pPr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  <w:tr w:rsidR="00225651" w:rsidTr="002256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Информационная открытость. Сетевое сотрудничество в реализации воспитательной системы Дворца и годового плана с социальными партнерами.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конструктивного сотрудничества творческих коллективов с детскими общественными объединениями, учреждениями образования, культуры, Домами ветеранов, воинскими частями.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 10</w:t>
            </w:r>
          </w:p>
        </w:tc>
      </w:tr>
      <w:tr w:rsidR="00225651" w:rsidTr="002256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системы поддержки и включения детей в конкурсы, мероприятия, досуг.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 по выявлению и развитию одаренных детей; тематических форм досуга для детей-инвалидов, детей с ограниченными возможностями здоровья, детьми-сиротами, детьми-мигрантами, детьми, находящимися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До 5 </w:t>
            </w:r>
          </w:p>
        </w:tc>
      </w:tr>
      <w:tr w:rsidR="00225651" w:rsidTr="0022565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в режиме эксперимента, инновационная работа.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методической работы учреждения; проектирование и внедрение современных форм, методов, технологий в работе с детьми, родителями, педагогами.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25651" w:rsidTr="00225651">
        <w:trPr>
          <w:trHeight w:val="28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 наличие звания «Почетный работник общего образования», «Отличник народного образования», «Отличник народного просвещения»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к отраслевой награде.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rPr>
          <w:trHeight w:val="4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До 46</w:t>
            </w: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316" w:rsidRDefault="00F72316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316" w:rsidRDefault="00F72316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pStyle w:val="a7"/>
        <w:numPr>
          <w:ilvl w:val="1"/>
          <w:numId w:val="16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Методист  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выплаты ежемесячных стимулирующих надбавок</w:t>
      </w:r>
    </w:p>
    <w:p w:rsidR="00225651" w:rsidRDefault="00225651" w:rsidP="002256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8" w:type="dxa"/>
        <w:tblInd w:w="-318" w:type="dxa"/>
        <w:tblLayout w:type="fixed"/>
        <w:tblLook w:val="04A0"/>
      </w:tblPr>
      <w:tblGrid>
        <w:gridCol w:w="2270"/>
        <w:gridCol w:w="2269"/>
        <w:gridCol w:w="2837"/>
        <w:gridCol w:w="1559"/>
        <w:gridCol w:w="1133"/>
      </w:tblGrid>
      <w:tr w:rsidR="00225651" w:rsidTr="00225651">
        <w:trPr>
          <w:tblHeader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 (в баллах)</w:t>
            </w:r>
          </w:p>
        </w:tc>
      </w:tr>
      <w:tr w:rsidR="00225651" w:rsidTr="0022565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.Повышение квалификации и профессиональной компетентности педагогических работников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28.05.2014 № 30/1«Об утверждении Положения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порядке и условиях установления стимулирующих выплат работникам МАУ ДОД «ДТДиМ «Северное сияние»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numPr>
                <w:ilvl w:val="0"/>
                <w:numId w:val="21"/>
              </w:numPr>
              <w:spacing w:line="240" w:lineRule="auto"/>
              <w:ind w:left="45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МО, семинаров, мастер-классов и других форм работы по профессиональному совершенствованию и подготовке к аттестации педагогических кадров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 10 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Продуктивное участие в инновационной, экспериментально-исследовательской деятельности.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Разработка положений, проектов, документов в рамках экспериментальных работ; </w:t>
            </w:r>
          </w:p>
          <w:p w:rsidR="00225651" w:rsidRDefault="00225651">
            <w:pPr>
              <w:pStyle w:val="a7"/>
              <w:numPr>
                <w:ilvl w:val="1"/>
                <w:numId w:val="2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различных видов методической продукции, обобщение и распространение передового педагогического опыта собственной деятельности, педагогов, учащихся. Организация методических выставок.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 10</w:t>
            </w:r>
          </w:p>
        </w:tc>
      </w:tr>
      <w:tr w:rsidR="00225651" w:rsidTr="0022565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эффективной помощи педагогам в написании новых учебных программ, публикаций, а также их подготовка к профессиональным конкурсам.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pStyle w:val="a7"/>
              <w:numPr>
                <w:ilvl w:val="1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консультирования педагогов (групповые, индивидуальные).</w:t>
            </w:r>
          </w:p>
          <w:p w:rsidR="00225651" w:rsidRDefault="00225651">
            <w:pPr>
              <w:pStyle w:val="a7"/>
              <w:numPr>
                <w:ilvl w:val="1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наставничества молодых кадров.</w:t>
            </w:r>
          </w:p>
          <w:p w:rsidR="00225651" w:rsidRDefault="00225651">
            <w:pPr>
              <w:pStyle w:val="a7"/>
              <w:numPr>
                <w:ilvl w:val="1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педагогов к выступлениям, конкурсам различного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(муниципального, регионального, федерального).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открытость.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pStyle w:val="a7"/>
              <w:numPr>
                <w:ilvl w:val="1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Регулярность публикаций, печатных материалов, выступлений в СМИ.</w:t>
            </w:r>
          </w:p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pStyle w:val="a7"/>
              <w:numPr>
                <w:ilvl w:val="1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учреждения,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Наличие на сайте методических рекомендаций.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публикаций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8 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сетевого взаимодействия по различным направлениям деятельности.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5.1.Результативность сотрудничества с социальными партнерами.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 5 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rPr>
          <w:trHeight w:val="156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 наличие звания «Почетный работник общего образования», «Отличник народного просвещения»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6.1.Наличие удостоверения к отраслевой награде.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rPr>
          <w:trHeight w:val="36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До 68</w:t>
            </w: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3.Учебно-вспомогательный персонал</w:t>
      </w:r>
    </w:p>
    <w:p w:rsidR="00225651" w:rsidRDefault="00225651" w:rsidP="00225651">
      <w:pPr>
        <w:pStyle w:val="a7"/>
        <w:spacing w:line="240" w:lineRule="auto"/>
        <w:ind w:left="819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</w:t>
      </w:r>
      <w:r w:rsidR="00F7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уководителя</w:t>
      </w:r>
    </w:p>
    <w:tbl>
      <w:tblPr>
        <w:tblW w:w="9747" w:type="dxa"/>
        <w:tblLook w:val="01E0"/>
      </w:tblPr>
      <w:tblGrid>
        <w:gridCol w:w="668"/>
        <w:gridCol w:w="2906"/>
        <w:gridCol w:w="2126"/>
        <w:gridCol w:w="1569"/>
        <w:gridCol w:w="2478"/>
      </w:tblGrid>
      <w:tr w:rsidR="00225651" w:rsidTr="00225651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(составляющие)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 максимальный  размер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225651" w:rsidTr="0022565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Использование в профессиональной деятельности ПК.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Качественное ведение делопроизводства, процедуры хранения, обработки и передачи информации.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архивом.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внедрение новых специализированных программ в практическую профессиональную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внедрения</w:t>
            </w:r>
          </w:p>
        </w:tc>
      </w:tr>
      <w:tr w:rsidR="00225651" w:rsidTr="0022565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сферы деятельности  (обработка персональных данных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архивное дело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0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пополнение нормативно-правовой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(ведение социального, медицинского    страхования,  оформление больничных  листов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74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негативных отзывов о ведении делопроизводства в «ДТДиМ»  в результате аудиторских проверок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</w:tr>
      <w:tr w:rsidR="00225651" w:rsidTr="00225651">
        <w:trPr>
          <w:trHeight w:val="6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</w:tr>
    </w:tbl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Заведующая костюмерной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7" w:type="dxa"/>
        <w:tblLook w:val="01E0"/>
      </w:tblPr>
      <w:tblGrid>
        <w:gridCol w:w="760"/>
        <w:gridCol w:w="3697"/>
        <w:gridCol w:w="1892"/>
        <w:gridCol w:w="1567"/>
        <w:gridCol w:w="1751"/>
      </w:tblGrid>
      <w:tr w:rsidR="00225651" w:rsidTr="00225651">
        <w:trPr>
          <w:trHeight w:val="412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 максимальный  размер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225651" w:rsidTr="00225651">
        <w:trPr>
          <w:trHeight w:val="69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Надбавка стимулирующего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rPr>
          <w:trHeight w:val="12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эскизов,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костюмов для массовых мероприятий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 10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и новизна художественно-оформительской работы  в пошиве сценических костюмов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0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тканей, фурнитуры, аксессуаров, обуви.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приобретения</w:t>
            </w:r>
          </w:p>
        </w:tc>
      </w:tr>
      <w:tr w:rsidR="00225651" w:rsidTr="00225651">
        <w:trPr>
          <w:trHeight w:val="15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своевременной реставрации  и мелкого ремонта костюмов,  чистки сценического реквизита, одежды сцены.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выполнения работ</w:t>
            </w:r>
          </w:p>
        </w:tc>
      </w:tr>
      <w:tr w:rsidR="00225651" w:rsidTr="00225651">
        <w:trPr>
          <w:trHeight w:val="1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художественному оформлению сценической площадки, изготовление и поддержание в надлежавшем состоянии сценического реквизита.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 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4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ИТОГО: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Звукорежиссер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04"/>
        <w:gridCol w:w="3454"/>
        <w:gridCol w:w="1892"/>
        <w:gridCol w:w="1542"/>
        <w:gridCol w:w="1694"/>
      </w:tblGrid>
      <w:tr w:rsidR="00225651" w:rsidTr="00225651">
        <w:trPr>
          <w:trHeight w:val="6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выплат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баллах максимальный  размер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Надбавка стимулирующего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rPr>
          <w:trHeight w:val="15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технического (звукового и светового) сопровождения мероприятий.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фонограмм для творческих коллективов,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сохранность.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225651" w:rsidTr="00225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базы данных музыкальных произведений,  фонограмм и т.д.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качество сохранности технического состояния звуковой и световой аппаратуры концертного зала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6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обязанностей:  ремонт не исправной аппаратуры, доставка аппаратуры на выездные мероприятия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До 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5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До 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</w:tr>
      <w:tr w:rsidR="00225651" w:rsidTr="00225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</w:pP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Художник-оформитель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3662"/>
        <w:gridCol w:w="1874"/>
        <w:gridCol w:w="1593"/>
        <w:gridCol w:w="1795"/>
      </w:tblGrid>
      <w:tr w:rsidR="00225651" w:rsidTr="00225651">
        <w:trPr>
          <w:trHeight w:val="981"/>
          <w:tblHeader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выплаты при достижении условий ее осуществления (баллы)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225651" w:rsidTr="00225651">
        <w:trPr>
          <w:trHeight w:val="90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Надбавка стимулирующего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rPr>
          <w:trHeight w:val="17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и новизна художественно-оформительских работ к мероприятиям, конкурсам, выставкам Дворца, городским мероприятиям.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До 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производственной эстетики в помещениях Дворца, способствующей повышению эффективности образовательного процесса.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7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1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оформление методических материалов Дворца,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До 5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7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 при оформлении  детских художественных выставок в холлах Дворца, а так же учебных кабинетов средствами наглядной агитации; разработка их эскизов.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07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приобретение материалов для оформления сценической площадки Дворца.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5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Режиссер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3762"/>
        <w:gridCol w:w="1874"/>
        <w:gridCol w:w="1575"/>
        <w:gridCol w:w="1777"/>
      </w:tblGrid>
      <w:tr w:rsidR="00225651" w:rsidTr="00225651">
        <w:trPr>
          <w:trHeight w:val="889"/>
          <w:tblHeader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выплаты при достижении условий ее осуществления (баллы)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225651" w:rsidTr="00225651">
        <w:trPr>
          <w:trHeight w:val="101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Надбавка стимулирующего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качества организации  подготовки, проведения  концертных программ, спектаклей, массовых и культурнодосуговых мероприятий всех уровней (дворец, город, край)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7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инновационной деятельности. Разработка и внедрении  творческих программ, программ  «Каникулы», «Одаренные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22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 степень проявления творческой инициативы в написании сценариев программ и спектаклей Дворца, а так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оказание содействия в подготовке призеров, победителей конкурсов,  фестивалей всех уровней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(дворец, город, край)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7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Обслуживающий персонал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4.1.Инженер по комплексному  обслуживанию здания.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выплаты ежемесячных стимулирующих надбавок</w:t>
      </w:r>
    </w:p>
    <w:p w:rsidR="00225651" w:rsidRDefault="00225651" w:rsidP="002256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3890"/>
        <w:gridCol w:w="2171"/>
        <w:gridCol w:w="1614"/>
        <w:gridCol w:w="1801"/>
      </w:tblGrid>
      <w:tr w:rsidR="00225651" w:rsidTr="00225651">
        <w:trPr>
          <w:trHeight w:val="78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 максимальный  размер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  <w:p w:rsidR="00225651" w:rsidRDefault="002256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Надбавка стимулирующего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rPr>
          <w:trHeight w:val="29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Безаварийное  содержания  всех  жизнеобеспечивающих  узлов помещений Дворца и структурного подразделения студии «Вымпел»: Элеваторный узел,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водонапорный-пожарный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гидрант,  теплопотребление, электропотребление, вентиляционная система, система  охраны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видео-наблюдения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10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9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косметического ремонта  помещений Дворца и структурного подразделения студии «Вымпел». Ремонт ТСО,  своевременно выполненные работ по предписанию СЭС,  пожарного надзора, коммунальных служб города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44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всех видов в случае аварийных ситуаций.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До  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комиссии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выполнения ремонтных работ</w:t>
            </w:r>
          </w:p>
        </w:tc>
      </w:tr>
      <w:tr w:rsidR="00225651" w:rsidTr="00225651">
        <w:trPr>
          <w:trHeight w:val="4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До  35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</w:tr>
    </w:tbl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316" w:rsidRDefault="00F72316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4.2.Инженер программист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выплаты ежемесячных стимулирующих надбавок</w:t>
      </w:r>
    </w:p>
    <w:p w:rsidR="00225651" w:rsidRDefault="00225651" w:rsidP="002256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3890"/>
        <w:gridCol w:w="2171"/>
        <w:gridCol w:w="1614"/>
        <w:gridCol w:w="1801"/>
      </w:tblGrid>
      <w:tr w:rsidR="00225651" w:rsidTr="00225651">
        <w:trPr>
          <w:trHeight w:val="66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225651" w:rsidRDefault="0022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 максимальный  размер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  <w:p w:rsidR="00225651" w:rsidRDefault="0022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  <w:p w:rsidR="00225651" w:rsidRDefault="0022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Надбавка стимулирующего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rPr>
          <w:trHeight w:val="29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25651" w:rsidRDefault="0022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Своевременный учет работы по техническому и программному обслуживанию АРМ.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 консультативной помощи пользователям по работе с АРМ и установленным программным обеспечением.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 комиссии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9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Бесперебойное рабочее состояние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прокси-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заявок по устранению технических неполадок.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5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предложений по модернизации и приобретению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комплектующего оборудования.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комиссии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 полугодие</w:t>
            </w:r>
          </w:p>
        </w:tc>
      </w:tr>
      <w:tr w:rsidR="00225651" w:rsidTr="00225651">
        <w:trPr>
          <w:trHeight w:val="53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</w:pPr>
          </w:p>
        </w:tc>
      </w:tr>
    </w:tbl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Default="00225651" w:rsidP="002256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03A1" w:rsidRDefault="001203A1" w:rsidP="001203A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651" w:rsidRPr="001203A1" w:rsidRDefault="001203A1" w:rsidP="001203A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="002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Сторож, сторож-вахтер, рабочий по комплексному обслуживанию здания,</w:t>
      </w:r>
      <w:r w:rsidR="002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по комплексному обслуживанию территории, гардеробщик,  швея, мастер по настройке музыкальных инструментов. </w:t>
      </w: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3426"/>
        <w:gridCol w:w="1874"/>
        <w:gridCol w:w="1556"/>
        <w:gridCol w:w="1696"/>
      </w:tblGrid>
      <w:tr w:rsidR="00225651" w:rsidTr="00225651">
        <w:trPr>
          <w:trHeight w:val="1011"/>
          <w:tblHeader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выплаты при достижении условий ее осуществления (в рублях)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измерения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действия</w:t>
            </w:r>
          </w:p>
        </w:tc>
      </w:tr>
      <w:tr w:rsidR="00225651" w:rsidTr="00225651">
        <w:trPr>
          <w:trHeight w:val="8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Надбавка стимулирующего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651" w:rsidTr="002256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закрепленного участка в соответствии с требованиями САНП и Н.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качество обслуживания закрепленного участка работы.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25651" w:rsidTr="00225651">
        <w:trPr>
          <w:trHeight w:val="11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left="8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генеральных уборок на закрепленном участке работы.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5000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225651" w:rsidTr="00225651">
        <w:trPr>
          <w:trHeight w:val="9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left="8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качественную подготовку Дворца к новому учебному году.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rPr>
          <w:trHeight w:val="8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left="8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отдельных  поручений администрации по необходимости, в том числе не входящих в должностные обязанности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rPr>
          <w:trHeight w:val="7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left="8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отчистку прилежащей территории  Дворца  от снега и наледи в зимнее время.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зимний сезон</w:t>
            </w:r>
          </w:p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651" w:rsidTr="00225651">
        <w:trPr>
          <w:trHeight w:val="10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left="8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и наружные  ремонтно-строительные работы  здания Дворца.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ремонтных работ, в том числе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красочных материалов.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10000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комиссии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A1" w:rsidRDefault="001203A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2256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7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автономного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 «Дворец творчества детей и молодежи «Северное сияние», финансирование оплаты труда, которого  осуществляется  за счет собственных доходов городского округа "Город Хабаровск"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 о  премировании</w:t>
      </w:r>
    </w:p>
    <w:p w:rsidR="00225651" w:rsidRDefault="00225651" w:rsidP="0022565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 МАУ ДО «ДТДиМ «Северное сияние»</w:t>
      </w:r>
    </w:p>
    <w:p w:rsidR="00225651" w:rsidRDefault="00225651" w:rsidP="0022565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numPr>
          <w:ilvl w:val="0"/>
          <w:numId w:val="25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25651" w:rsidRDefault="00225651" w:rsidP="00225651">
      <w:pPr>
        <w:numPr>
          <w:ilvl w:val="1"/>
          <w:numId w:val="25"/>
        </w:numPr>
        <w:spacing w:after="200"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вводится для улучшения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выполнения установленных показателей деятельности Дворца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651" w:rsidRDefault="00225651" w:rsidP="00225651">
      <w:pPr>
        <w:numPr>
          <w:ilvl w:val="1"/>
          <w:numId w:val="25"/>
        </w:numPr>
        <w:spacing w:after="200"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производится  за счет  экономии бюджетных  средств, направленных на оплату труда и средств внебюджетной деятельности.</w:t>
      </w:r>
    </w:p>
    <w:p w:rsidR="00225651" w:rsidRDefault="00225651" w:rsidP="00225651">
      <w:pPr>
        <w:numPr>
          <w:ilvl w:val="1"/>
          <w:numId w:val="25"/>
        </w:numPr>
        <w:spacing w:after="200" w:line="276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работников производится по результатам работы за месяц, квартал, за год в зависимости от личного вклада каждого работника в выполнение основных показателей премирования, а также за выполнение особо важных и срочных работ.</w:t>
      </w:r>
    </w:p>
    <w:p w:rsidR="00225651" w:rsidRDefault="00225651" w:rsidP="00225651">
      <w:pPr>
        <w:spacing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225651">
      <w:pPr>
        <w:numPr>
          <w:ilvl w:val="0"/>
          <w:numId w:val="25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начисления и выплаты премии</w:t>
      </w:r>
    </w:p>
    <w:p w:rsidR="00225651" w:rsidRDefault="00225651" w:rsidP="00225651">
      <w:pPr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2.1..Премия выплачивается на основании приказа директора по решению комиссии по установлению стимулирующих надбавок и премий  в соответствии с основными показателями премирования. Премия по каждому работнику рассматривается персонально.     </w:t>
      </w:r>
    </w:p>
    <w:p w:rsidR="00225651" w:rsidRDefault="00225651" w:rsidP="00225651">
      <w:pPr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2.2.Подведение итогов премирования проводится комиссией не позднее месяца после отчетного периода. Работа комиссии оформляется протоколом. В соответствии с решение комиссии издается приказ по Дворцу, который служит основанием для начисления и выплаты премии работникам.</w:t>
      </w:r>
    </w:p>
    <w:p w:rsidR="00225651" w:rsidRDefault="00225651" w:rsidP="00225651">
      <w:pPr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2.3.Премия работникам устанавливается фиксированной суммой, согласно установленным критериям.</w:t>
      </w: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Показатели</w:t>
      </w: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премиальных выплат  работникам Дворца </w:t>
      </w:r>
    </w:p>
    <w:p w:rsidR="00225651" w:rsidRDefault="00225651" w:rsidP="0022565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64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8"/>
        <w:gridCol w:w="1887"/>
        <w:gridCol w:w="2210"/>
        <w:gridCol w:w="2159"/>
      </w:tblGrid>
      <w:tr w:rsidR="00225651" w:rsidTr="00225651">
        <w:trPr>
          <w:tblHeader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по критерию максимальная сумма в рублях)</w:t>
            </w:r>
          </w:p>
        </w:tc>
      </w:tr>
      <w:tr w:rsidR="00225651" w:rsidTr="00225651">
        <w:trPr>
          <w:trHeight w:val="88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Победы детского коллектива и детей (персонально) в конкурсах, выставках,  фестивалях, соревнованиях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Краевой,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межрегиональный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Всероссийских 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225651" w:rsidTr="00225651">
        <w:trPr>
          <w:trHeight w:val="21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в профессиональных  конкурсах  педагогического мастерства («Сердце отдаю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материалы», «Учебный пакет» и т.д.)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результатам конкурса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4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25651" w:rsidTr="00225651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авторских программ, методических разработок (Дворца, город, край, регион)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результатам конкурса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225651" w:rsidTr="00225651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конкурса «Педагог года» в «ДТДиМ».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конкурса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 </w:t>
            </w:r>
          </w:p>
        </w:tc>
      </w:tr>
      <w:tr w:rsidR="00225651" w:rsidTr="00225651">
        <w:trPr>
          <w:trHeight w:val="281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Премиальные выплаты по итогам работы: </w:t>
            </w:r>
          </w:p>
          <w:p w:rsidR="00225651" w:rsidRDefault="00225651">
            <w:pPr>
              <w:numPr>
                <w:ilvl w:val="0"/>
                <w:numId w:val="26"/>
              </w:numPr>
              <w:spacing w:line="240" w:lineRule="auto"/>
              <w:ind w:left="567" w:hanging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качество, интенсивность, высокие результаты работы;</w:t>
            </w:r>
          </w:p>
          <w:p w:rsidR="00225651" w:rsidRDefault="00225651">
            <w:pPr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numPr>
                <w:ilvl w:val="0"/>
                <w:numId w:val="26"/>
              </w:numPr>
              <w:spacing w:line="240" w:lineRule="auto"/>
              <w:ind w:left="567" w:hanging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профессиональное мастерство, классность;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numPr>
                <w:ilvl w:val="0"/>
                <w:numId w:val="26"/>
              </w:numPr>
              <w:spacing w:line="240" w:lineRule="auto"/>
              <w:ind w:left="567" w:hanging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 особо важных и срочных работ.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numPr>
                <w:ilvl w:val="0"/>
                <w:numId w:val="26"/>
              </w:numPr>
              <w:spacing w:line="240" w:lineRule="auto"/>
              <w:ind w:left="567" w:hanging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не входящую в круг должностных обязанностей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4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  15000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  15000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  10000 </w:t>
            </w:r>
          </w:p>
        </w:tc>
      </w:tr>
      <w:tr w:rsidR="00225651" w:rsidTr="00225651">
        <w:trPr>
          <w:trHeight w:val="12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участие в работе экспериментальных, стажировочных площадок.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  15000 </w:t>
            </w:r>
          </w:p>
        </w:tc>
      </w:tr>
      <w:tr w:rsidR="00225651" w:rsidTr="00225651">
        <w:trPr>
          <w:trHeight w:val="12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работа с детьми с особыми потребностями (дети-инвалиды, дети-сироты, дети-группы «риска», дети-мигранты).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До 5000</w:t>
            </w:r>
          </w:p>
        </w:tc>
      </w:tr>
      <w:tr w:rsidR="00225651" w:rsidTr="00225651">
        <w:trPr>
          <w:trHeight w:val="10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механизмов сетевого партнерства в реализации образовательной программы в своём коллективе и проектах Дворца.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   15000 </w:t>
            </w:r>
          </w:p>
        </w:tc>
      </w:tr>
      <w:tr w:rsidR="00225651" w:rsidTr="00225651">
        <w:trPr>
          <w:trHeight w:val="12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каникулярного отдыха,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каникулярной практики учащихся: охват не ниже 75 % от общего количества детей, различными организационными формами отдыха и оздоровления на качественном уровне  (профильные </w:t>
            </w:r>
            <w:proofErr w:type="gramEnd"/>
          </w:p>
          <w:p w:rsidR="00225651" w:rsidRDefault="00225651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смены,  отряды, загородные  лагеря  и т.д.)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каникул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  7000  </w:t>
            </w:r>
          </w:p>
        </w:tc>
      </w:tr>
      <w:tr w:rsidR="00225651" w:rsidTr="00225651">
        <w:trPr>
          <w:trHeight w:val="12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 выпускниками будущей профессии по направлениям образовательных программ.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сентябре)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5000</w:t>
            </w:r>
          </w:p>
        </w:tc>
      </w:tr>
      <w:tr w:rsidR="00225651" w:rsidTr="00225651">
        <w:trPr>
          <w:trHeight w:val="99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развитие материально-технической базы учебных кабинетов Дворца. 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Капитальный и косметический ремонт помещений, и прилегающей территории ДТДиМ;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Генеральная уборка, озеленение;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Устранение аварийных ситуаций, ремонтные работы всех видов, погрузо-разгрузочные работы, приобретение учебного оборудования, мебели, установка пластиковых окон, дверей, отчистка кровли здания от снега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выполнения работ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  15000</w:t>
            </w:r>
          </w:p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   5000 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   10000</w:t>
            </w:r>
          </w:p>
        </w:tc>
      </w:tr>
      <w:tr w:rsidR="00225651" w:rsidTr="00225651">
        <w:trPr>
          <w:trHeight w:val="6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 подготовки и сдачи Дворца к новому учебному году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Один раз в год</w:t>
            </w:r>
          </w:p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 – сентябрь)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До 10000</w:t>
            </w:r>
          </w:p>
        </w:tc>
      </w:tr>
      <w:tr w:rsidR="00225651" w:rsidTr="00225651">
        <w:trPr>
          <w:trHeight w:val="105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воспитанников в «ДТДиМ».</w:t>
            </w: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651" w:rsidRDefault="0022565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51" w:rsidRDefault="00225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8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автономного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 «Дворец творчества детей и молодежи «Северное сияние», финансирование оплаты труда, которого  осуществляется  за счет собственных доходов городского округа "Город Хабаровск"</w:t>
      </w: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22565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25651" w:rsidRDefault="00225651" w:rsidP="00225651">
      <w:pPr>
        <w:widowControl w:val="0"/>
        <w:shd w:val="clear" w:color="auto" w:fill="FFFFFF"/>
        <w:autoSpaceDE w:val="0"/>
        <w:autoSpaceDN w:val="0"/>
        <w:adjustRightInd w:val="0"/>
        <w:spacing w:before="29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25651" w:rsidRDefault="00225651" w:rsidP="0022565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0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оказании материальной помощи работникам </w:t>
      </w:r>
    </w:p>
    <w:p w:rsidR="00225651" w:rsidRDefault="00225651" w:rsidP="0022565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0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МАУ ДО «ДТДиМ Северное сияние»</w:t>
      </w:r>
    </w:p>
    <w:p w:rsidR="00225651" w:rsidRDefault="00225651" w:rsidP="0022565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0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22565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ind w:right="-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225651" w:rsidRDefault="00225651" w:rsidP="0022565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10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651" w:rsidRDefault="00225651" w:rsidP="00D332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8" w:right="10"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оказании материальной помощи работникам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МАУ ДО «ДТДиМ «Северное сияние»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приложением к Положению об установлении условий оплаты труда и регулирует порядок и условия выплаты материальной помощи работникам.</w:t>
      </w:r>
    </w:p>
    <w:p w:rsidR="00225651" w:rsidRDefault="00225651" w:rsidP="00D332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D332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и условия оказания материальной помощи</w:t>
      </w:r>
    </w:p>
    <w:p w:rsidR="00225651" w:rsidRDefault="00225651" w:rsidP="00D332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51" w:rsidRDefault="00225651" w:rsidP="00D3329A">
      <w:pPr>
        <w:widowControl w:val="0"/>
        <w:numPr>
          <w:ilvl w:val="1"/>
          <w:numId w:val="2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Материальная помощь работникам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МАУ ДО «ДТДиМ «Северное сияние»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выплачиваться исходя из утвержденного лимита бюджетных обязательств.</w:t>
      </w:r>
    </w:p>
    <w:p w:rsidR="00225651" w:rsidRDefault="00225651" w:rsidP="00D3329A">
      <w:pPr>
        <w:widowControl w:val="0"/>
        <w:numPr>
          <w:ilvl w:val="1"/>
          <w:numId w:val="2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работнику устанавливается в размере одного оклада (должностного оклада), минимального оклада (минимального должностного оклада), но не более установленной нагрузки.</w:t>
      </w:r>
    </w:p>
    <w:p w:rsidR="00225651" w:rsidRDefault="00225651" w:rsidP="00D3329A">
      <w:pPr>
        <w:widowControl w:val="0"/>
        <w:numPr>
          <w:ilvl w:val="1"/>
          <w:numId w:val="2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выплачивается в течение года по личному заявлению работника на основании приказа директора Дворца.</w:t>
      </w:r>
    </w:p>
    <w:p w:rsidR="00225651" w:rsidRDefault="00225651" w:rsidP="00D3329A">
      <w:pPr>
        <w:widowControl w:val="0"/>
        <w:numPr>
          <w:ilvl w:val="1"/>
          <w:numId w:val="2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Работнику, проработавшему в учреждении один календарный год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реализовавшему свое право на получение материальной помощи она 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выплаченной в конце текущего года.</w:t>
      </w:r>
    </w:p>
    <w:p w:rsidR="00225651" w:rsidRDefault="00225651" w:rsidP="00D3329A">
      <w:pPr>
        <w:widowControl w:val="0"/>
        <w:numPr>
          <w:ilvl w:val="1"/>
          <w:numId w:val="2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Работнику, числящемуся в штате на конец года и проработавшему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учреждении не менее трех месяцев, материальная помощь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выплачиваться в конце текущего года пропорционально фактически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отработанному времени.</w:t>
      </w:r>
    </w:p>
    <w:p w:rsidR="00225651" w:rsidRPr="00E43A7C" w:rsidRDefault="00225651" w:rsidP="00D3329A">
      <w:pPr>
        <w:widowControl w:val="0"/>
        <w:numPr>
          <w:ilvl w:val="1"/>
          <w:numId w:val="2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учреждения, уволившимся в течение года по собственному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желанию (статья 80 ТК РФ), в порядке перевода (статья 77 п. 5 ТК РФ), по истечении срока трудового договора (статья 77 п.2 ТК РФ), по состоянию здоровья, препятствующего продолжению выполнения данной работы (статья 81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ТК РФ), в связи с признанием работника полностью нетрудоспособным (статья 83 п. 5 ТК РФ), материальная помощь может выплачиваться пропорционально фактически отработанному времени в текущем году</w:t>
      </w:r>
      <w:r w:rsidR="00E4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D551B5" w:rsidRDefault="00D551B5" w:rsidP="00D3329A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1B5" w:rsidRDefault="00D551B5" w:rsidP="00D3329A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A7C" w:rsidRDefault="00D551B5" w:rsidP="00D3329A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2565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E43A7C" w:rsidRDefault="00E43A7C" w:rsidP="00D3329A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651" w:rsidRDefault="00D551B5" w:rsidP="00D3329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="00225651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№ 9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 Положению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автономного</w:t>
      </w:r>
    </w:p>
    <w:p w:rsidR="00225651" w:rsidRDefault="00225651" w:rsidP="00D3329A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  «Дворец творчества детей и молодежи «Северное сияние», финансирование оплаты труда, которого  осуществляется  за счет собственных доходов городского округа "Город Хабаровск"</w:t>
      </w:r>
    </w:p>
    <w:p w:rsidR="00225651" w:rsidRDefault="00225651" w:rsidP="00D3329A">
      <w:pPr>
        <w:widowControl w:val="0"/>
        <w:shd w:val="clear" w:color="auto" w:fill="FFFFFF"/>
        <w:autoSpaceDE w:val="0"/>
        <w:autoSpaceDN w:val="0"/>
        <w:adjustRightInd w:val="0"/>
        <w:spacing w:before="235" w:line="240" w:lineRule="auto"/>
        <w:ind w:right="19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25651" w:rsidRDefault="00225651" w:rsidP="00D332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экспертной комиссии</w:t>
      </w:r>
    </w:p>
    <w:p w:rsidR="00225651" w:rsidRDefault="00225651" w:rsidP="00D3329A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hanging="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регулирует состав комиссии, порядок и условие распределения стимулирующих выплат, направленных на усиление мотивации работников  Дворца к высокой результативности и качеству труда.</w:t>
      </w:r>
    </w:p>
    <w:p w:rsidR="00225651" w:rsidRDefault="00225651" w:rsidP="00D3329A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hanging="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  экспертной   комиссии   выбирается   на   общем   собрании трудового коллектива работников  Дворца с участием органов общественного самоуправления    образовательного   учреждения    и   утверждается руководителем образовательного учреждения сроком на учебный год.</w:t>
      </w:r>
    </w:p>
    <w:p w:rsidR="00225651" w:rsidRDefault="00225651" w:rsidP="00D3329A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line="240" w:lineRule="auto"/>
        <w:ind w:hanging="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экспертной комиссии выбирается на первом заседании экспертной комиссии.  Экспертная комиссия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 результатах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перед Общим собранием трудового коллектива (2 раза в год).</w:t>
      </w:r>
    </w:p>
    <w:p w:rsidR="00225651" w:rsidRDefault="00225651" w:rsidP="00D3329A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line="240" w:lineRule="auto"/>
        <w:ind w:hanging="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экспертной комиссии является правомочным, если на нем присутствует не менее 2/3 членов комиссии. Принятие комиссией решения по рассматриваемому вопросу принимается большинством голосов присутствующих членов комиссии. Председатель экспертной комиссии имеет право решающего голоса, если голоса разделились поровну.</w:t>
      </w:r>
    </w:p>
    <w:p w:rsidR="00225651" w:rsidRDefault="00225651" w:rsidP="00D3329A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hanging="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ежемесячно (до 20 числа) обязана распределить стимулирующие и премиальные выплаты работникам Дворца в баллах, а так же в стоимостном выражении (в рублях)  в   соответствии   с   Положениями:   </w:t>
      </w:r>
    </w:p>
    <w:p w:rsidR="00225651" w:rsidRDefault="00225651" w:rsidP="00D3329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«О   порядке   и   условиях установления   стимулирующих   выплат   работникам   МАУ    ДО «ДТДиМ Северное сияние», подведомственного Управлению образования, финансирование оплаты труда работников, которых осуществляется за счет собственных доходов городского округа «Город Хабаровск»».</w:t>
      </w:r>
    </w:p>
    <w:p w:rsidR="00225651" w:rsidRDefault="00225651" w:rsidP="00D332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A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ремировании работников  МАУ ДО «ДТДиМ «Северное сияние»</w:t>
      </w:r>
    </w:p>
    <w:p w:rsidR="00225651" w:rsidRDefault="00225651" w:rsidP="00D3329A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line="240" w:lineRule="auto"/>
        <w:ind w:hanging="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экспертной комиссии отражается в ежемесячных протоколах за  подписью  каждого  члена  комиссии и доводится до работников учреждения.  Итоги  работы   каждого работника   Дворца,  подводятся экспертной   комиссией     согласно критериям для установления стимулирующих выплат работникам Дворца,  а так же по показателям выплаты работникам Дворца единовременных премий согласно Положению.</w:t>
      </w:r>
    </w:p>
    <w:p w:rsidR="00225651" w:rsidRDefault="00225651" w:rsidP="00D3329A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hanging="6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решения экспертной комиссии предоставляются для ознакомления персонально каждому сотруднику ежемесячно 20 по 30 число, а так же вывешиваются на информационный стенд.</w:t>
      </w:r>
    </w:p>
    <w:p w:rsidR="00522B55" w:rsidRDefault="00225651" w:rsidP="00D3329A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стоимости 1 балла производится исходя из фонда оплаты стимулирующих выплат путем деления на общее количество баллов, согласно критериям по всем должностям Дворца. Стоимость 1 балла рассматривается на заседании комиссии по распределению стимулирующих и премиальных выплат, утверждается при</w:t>
      </w:r>
      <w:r w:rsidR="00E43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 директора.</w:t>
      </w:r>
    </w:p>
    <w:sectPr w:rsidR="00522B55" w:rsidSect="00522B5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54" w:rsidRDefault="00446654" w:rsidP="00D3329A">
      <w:pPr>
        <w:spacing w:line="240" w:lineRule="auto"/>
      </w:pPr>
      <w:r>
        <w:separator/>
      </w:r>
    </w:p>
  </w:endnote>
  <w:endnote w:type="continuationSeparator" w:id="0">
    <w:p w:rsidR="00446654" w:rsidRDefault="00446654" w:rsidP="00D33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02221"/>
    </w:sdtPr>
    <w:sdtContent>
      <w:p w:rsidR="00D3329A" w:rsidRDefault="00A8035D">
        <w:pPr>
          <w:pStyle w:val="ab"/>
          <w:jc w:val="center"/>
        </w:pPr>
        <w:fldSimple w:instr=" PAGE   \* MERGEFORMAT ">
          <w:r w:rsidR="004B4291">
            <w:rPr>
              <w:noProof/>
            </w:rPr>
            <w:t>48</w:t>
          </w:r>
        </w:fldSimple>
      </w:p>
    </w:sdtContent>
  </w:sdt>
  <w:p w:rsidR="00D3329A" w:rsidRDefault="00D332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54" w:rsidRDefault="00446654" w:rsidP="00D3329A">
      <w:pPr>
        <w:spacing w:line="240" w:lineRule="auto"/>
      </w:pPr>
      <w:r>
        <w:separator/>
      </w:r>
    </w:p>
  </w:footnote>
  <w:footnote w:type="continuationSeparator" w:id="0">
    <w:p w:rsidR="00446654" w:rsidRDefault="00446654" w:rsidP="00D332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097"/>
    <w:multiLevelType w:val="multilevel"/>
    <w:tmpl w:val="2A9647A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A8D4CB2"/>
    <w:multiLevelType w:val="multilevel"/>
    <w:tmpl w:val="9552D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F286B79"/>
    <w:multiLevelType w:val="multilevel"/>
    <w:tmpl w:val="C1CC313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5.%2"/>
      <w:lvlJc w:val="left"/>
      <w:pPr>
        <w:tabs>
          <w:tab w:val="num" w:pos="792"/>
        </w:tabs>
        <w:ind w:left="792" w:hanging="432"/>
      </w:pPr>
    </w:lvl>
    <w:lvl w:ilvl="2">
      <w:numFmt w:val="decimal"/>
      <w:lvlText w:val="3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%1.1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7DB41FC"/>
    <w:multiLevelType w:val="multilevel"/>
    <w:tmpl w:val="D9A8B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2809094D"/>
    <w:multiLevelType w:val="hybridMultilevel"/>
    <w:tmpl w:val="E192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E785A"/>
    <w:multiLevelType w:val="multilevel"/>
    <w:tmpl w:val="D3DEA6A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A3D19FD"/>
    <w:multiLevelType w:val="hybridMultilevel"/>
    <w:tmpl w:val="4A0867F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14B75"/>
    <w:multiLevelType w:val="hybridMultilevel"/>
    <w:tmpl w:val="4FA0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40756"/>
    <w:multiLevelType w:val="hybridMultilevel"/>
    <w:tmpl w:val="38E07BB0"/>
    <w:lvl w:ilvl="0" w:tplc="1B6A2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F3225"/>
    <w:multiLevelType w:val="singleLevel"/>
    <w:tmpl w:val="30188700"/>
    <w:lvl w:ilvl="0">
      <w:start w:val="1"/>
      <w:numFmt w:val="decimal"/>
      <w:lvlText w:val="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1F42924"/>
    <w:multiLevelType w:val="hybridMultilevel"/>
    <w:tmpl w:val="0126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E7612"/>
    <w:multiLevelType w:val="multilevel"/>
    <w:tmpl w:val="DDCC7E8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6C90327"/>
    <w:multiLevelType w:val="hybridMultilevel"/>
    <w:tmpl w:val="4A82E954"/>
    <w:lvl w:ilvl="0" w:tplc="F8F45E70">
      <w:start w:val="5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D7C3F"/>
    <w:multiLevelType w:val="hybridMultilevel"/>
    <w:tmpl w:val="7A8A5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468B7"/>
    <w:multiLevelType w:val="singleLevel"/>
    <w:tmpl w:val="8C8A17DE"/>
    <w:lvl w:ilvl="0">
      <w:start w:val="5"/>
      <w:numFmt w:val="decimal"/>
      <w:lvlText w:val="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53BA4191"/>
    <w:multiLevelType w:val="multilevel"/>
    <w:tmpl w:val="45681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8" w:hanging="40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5682758F"/>
    <w:multiLevelType w:val="multilevel"/>
    <w:tmpl w:val="B0566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574948FD"/>
    <w:multiLevelType w:val="multilevel"/>
    <w:tmpl w:val="BECADF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5984725F"/>
    <w:multiLevelType w:val="multilevel"/>
    <w:tmpl w:val="10E6A9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color w:val="000000"/>
      </w:rPr>
    </w:lvl>
  </w:abstractNum>
  <w:abstractNum w:abstractNumId="19">
    <w:nsid w:val="5B8F52C5"/>
    <w:multiLevelType w:val="multilevel"/>
    <w:tmpl w:val="51BC2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</w:lvl>
    <w:lvl w:ilvl="2">
      <w:start w:val="1"/>
      <w:numFmt w:val="decimal"/>
      <w:isLgl/>
      <w:lvlText w:val="%1.%2.%3"/>
      <w:lvlJc w:val="left"/>
      <w:pPr>
        <w:ind w:left="1278" w:hanging="720"/>
      </w:pPr>
    </w:lvl>
    <w:lvl w:ilvl="3">
      <w:start w:val="1"/>
      <w:numFmt w:val="decimal"/>
      <w:isLgl/>
      <w:lvlText w:val="%1.%2.%3.%4"/>
      <w:lvlJc w:val="left"/>
      <w:pPr>
        <w:ind w:left="1377" w:hanging="720"/>
      </w:pPr>
    </w:lvl>
    <w:lvl w:ilvl="4">
      <w:start w:val="1"/>
      <w:numFmt w:val="decimal"/>
      <w:isLgl/>
      <w:lvlText w:val="%1.%2.%3.%4.%5"/>
      <w:lvlJc w:val="left"/>
      <w:pPr>
        <w:ind w:left="1836" w:hanging="1080"/>
      </w:pPr>
    </w:lvl>
    <w:lvl w:ilvl="5">
      <w:start w:val="1"/>
      <w:numFmt w:val="decimal"/>
      <w:isLgl/>
      <w:lvlText w:val="%1.%2.%3.%4.%5.%6"/>
      <w:lvlJc w:val="left"/>
      <w:pPr>
        <w:ind w:left="1935" w:hanging="1080"/>
      </w:pPr>
    </w:lvl>
    <w:lvl w:ilvl="6">
      <w:start w:val="1"/>
      <w:numFmt w:val="decimal"/>
      <w:isLgl/>
      <w:lvlText w:val="%1.%2.%3.%4.%5.%6.%7"/>
      <w:lvlJc w:val="left"/>
      <w:pPr>
        <w:ind w:left="2394" w:hanging="1440"/>
      </w:p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</w:lvl>
  </w:abstractNum>
  <w:abstractNum w:abstractNumId="20">
    <w:nsid w:val="5C2706E6"/>
    <w:multiLevelType w:val="hybridMultilevel"/>
    <w:tmpl w:val="AF1E95CA"/>
    <w:lvl w:ilvl="0" w:tplc="C90C8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0CD57C">
      <w:start w:val="1"/>
      <w:numFmt w:val="russianLower"/>
      <w:lvlText w:val="%2)."/>
      <w:lvlJc w:val="left"/>
      <w:pPr>
        <w:tabs>
          <w:tab w:val="num" w:pos="794"/>
        </w:tabs>
        <w:ind w:left="810" w:hanging="45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D6724"/>
    <w:multiLevelType w:val="hybridMultilevel"/>
    <w:tmpl w:val="26FE3D1A"/>
    <w:lvl w:ilvl="0" w:tplc="B378B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041509"/>
    <w:multiLevelType w:val="multilevel"/>
    <w:tmpl w:val="6F9061FA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6B421B6B"/>
    <w:multiLevelType w:val="hybridMultilevel"/>
    <w:tmpl w:val="331036C8"/>
    <w:lvl w:ilvl="0" w:tplc="1B6A2A0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06D34"/>
    <w:multiLevelType w:val="hybridMultilevel"/>
    <w:tmpl w:val="52CE21B2"/>
    <w:lvl w:ilvl="0" w:tplc="01B0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A73A3"/>
    <w:multiLevelType w:val="hybridMultilevel"/>
    <w:tmpl w:val="BCD6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74423"/>
    <w:multiLevelType w:val="multilevel"/>
    <w:tmpl w:val="DFFED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758B255B"/>
    <w:multiLevelType w:val="hybridMultilevel"/>
    <w:tmpl w:val="D316B2FA"/>
    <w:lvl w:ilvl="0" w:tplc="C90C8C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5D5B84"/>
    <w:multiLevelType w:val="hybridMultilevel"/>
    <w:tmpl w:val="308CB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D63ABD"/>
    <w:multiLevelType w:val="hybridMultilevel"/>
    <w:tmpl w:val="66D8C1A0"/>
    <w:lvl w:ilvl="0" w:tplc="1B6A2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</w:num>
  <w:num w:numId="30">
    <w:abstractNumId w:val="1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51"/>
    <w:rsid w:val="00025235"/>
    <w:rsid w:val="001203A1"/>
    <w:rsid w:val="00225651"/>
    <w:rsid w:val="0029662D"/>
    <w:rsid w:val="00446654"/>
    <w:rsid w:val="004B4291"/>
    <w:rsid w:val="00522B55"/>
    <w:rsid w:val="00572BD0"/>
    <w:rsid w:val="008B0C55"/>
    <w:rsid w:val="009B6CBE"/>
    <w:rsid w:val="009D22CB"/>
    <w:rsid w:val="00A8035D"/>
    <w:rsid w:val="00C53CEB"/>
    <w:rsid w:val="00D3329A"/>
    <w:rsid w:val="00D551B5"/>
    <w:rsid w:val="00E43A7C"/>
    <w:rsid w:val="00F72316"/>
    <w:rsid w:val="00F8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51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25651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565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5651"/>
    <w:rPr>
      <w:color w:val="0000FF" w:themeColor="hyperlink"/>
      <w:u w:val="single"/>
    </w:rPr>
  </w:style>
  <w:style w:type="paragraph" w:styleId="a4">
    <w:name w:val="Balloon Text"/>
    <w:basedOn w:val="a"/>
    <w:link w:val="11"/>
    <w:uiPriority w:val="99"/>
    <w:semiHidden/>
    <w:unhideWhenUsed/>
    <w:rsid w:val="00225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locked/>
    <w:rsid w:val="00225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651"/>
    <w:rPr>
      <w:rFonts w:ascii="Tahoma" w:hAnsi="Tahoma" w:cs="Tahoma"/>
      <w:sz w:val="16"/>
      <w:szCs w:val="16"/>
    </w:rPr>
  </w:style>
  <w:style w:type="paragraph" w:styleId="a6">
    <w:name w:val="No Spacing"/>
    <w:qFormat/>
    <w:rsid w:val="002256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25651"/>
    <w:pPr>
      <w:ind w:left="720"/>
      <w:contextualSpacing/>
    </w:pPr>
  </w:style>
  <w:style w:type="paragraph" w:customStyle="1" w:styleId="ConsPlusNormal">
    <w:name w:val="ConsPlusNormal"/>
    <w:rsid w:val="002256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2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56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225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25651"/>
  </w:style>
  <w:style w:type="table" w:styleId="a8">
    <w:name w:val="Table Grid"/>
    <w:basedOn w:val="a1"/>
    <w:uiPriority w:val="59"/>
    <w:rsid w:val="0022565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332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329A"/>
  </w:style>
  <w:style w:type="paragraph" w:styleId="ab">
    <w:name w:val="footer"/>
    <w:basedOn w:val="a"/>
    <w:link w:val="ac"/>
    <w:uiPriority w:val="99"/>
    <w:unhideWhenUsed/>
    <w:rsid w:val="00D3329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esktop\&#1055;&#1054;&#1051;&#1054;&#1046;&#1045;&#1053;&#1048;&#1045;%20(&#1080;&#1089;&#1087;&#1088;&#1072;&#1074;&#1083;&#1077;&#1085;&#1086;&#1077;).docx" TargetMode="External"/><Relationship Id="rId13" Type="http://schemas.openxmlformats.org/officeDocument/2006/relationships/hyperlink" Target="consultantplus://offline/ref=B0EB058070A6CD163DA7911BAB77B402988D6708A0ABDEDFFC9AFB7E0BDE2751E0CD10D392AF1CL4a5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991EC0F070951AB996C79D33D7838682B7256058C66C131BC26BFBCEZ3S9A" TargetMode="External"/><Relationship Id="rId1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EB058070A6CD163DA7911BAB77B40297806309A4ABDEDFFC9AFB7E0BDE2751E0CD10D392AF1CL4a5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065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EB058070A6CD163DA7911BAB77B402918B630BA7A783D5F4C3F77C0CD17846E7841CD292AF1C4CLEa8E" TargetMode="External"/><Relationship Id="rId10" Type="http://schemas.openxmlformats.org/officeDocument/2006/relationships/hyperlink" Target="http://docs.cntd.ru/document/9021060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2696" TargetMode="External"/><Relationship Id="rId14" Type="http://schemas.openxmlformats.org/officeDocument/2006/relationships/hyperlink" Target="consultantplus://offline/ref=B0EB058070A6CD163DA7911BAB77B4029788630EA3ABDEDFFC9AFB7E0BDE2751E0CD10D392AF1CL4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03373-D9EB-4A61-9873-B2410B19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51</Pages>
  <Words>13478</Words>
  <Characters>76825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Дворец</cp:lastModifiedBy>
  <cp:revision>8</cp:revision>
  <cp:lastPrinted>2017-01-26T01:04:00Z</cp:lastPrinted>
  <dcterms:created xsi:type="dcterms:W3CDTF">2017-01-11T06:45:00Z</dcterms:created>
  <dcterms:modified xsi:type="dcterms:W3CDTF">2017-05-26T07:30:00Z</dcterms:modified>
</cp:coreProperties>
</file>