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A" w:rsidRPr="003518DA" w:rsidRDefault="0027287A" w:rsidP="009D32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518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Аналитическая справка</w:t>
      </w:r>
    </w:p>
    <w:p w:rsidR="0027287A" w:rsidRPr="00D860FC" w:rsidRDefault="0027287A" w:rsidP="009D32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8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итогам</w:t>
      </w:r>
      <w:r w:rsidRPr="00D860F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8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860B9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Pr="00D860F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8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этапа  эксперимента</w:t>
      </w:r>
    </w:p>
    <w:p w:rsidR="0027287A" w:rsidRDefault="0027287A" w:rsidP="009D3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75C72">
        <w:t xml:space="preserve"> </w:t>
      </w:r>
      <w:r w:rsidRPr="0027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уровня </w:t>
      </w:r>
      <w:r w:rsidRPr="00B071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образовательных достижений, уровня развития </w:t>
      </w:r>
      <w:r w:rsidRPr="0054253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личности </w:t>
      </w:r>
      <w:r w:rsidRPr="0054253D">
        <w:rPr>
          <w:rFonts w:ascii="Times New Roman" w:hAnsi="Times New Roman" w:cs="Times New Roman"/>
          <w:sz w:val="28"/>
          <w:szCs w:val="28"/>
        </w:rPr>
        <w:t>в ходе реализации образовательных программ различных видов творческой деятельности.</w:t>
      </w:r>
    </w:p>
    <w:p w:rsidR="0027287A" w:rsidRDefault="00023ACA" w:rsidP="009D32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2F2F2"/>
        </w:rPr>
        <w:t> </w:t>
      </w:r>
      <w:r w:rsidR="0027287A" w:rsidRPr="00470355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="0027287A" w:rsidRPr="004703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287A" w:rsidRPr="0059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87A" w:rsidRPr="0047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анкетировании приняли участие </w:t>
      </w:r>
      <w:r w:rsidR="00860B9F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="0027287A" w:rsidRPr="00C94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87A" w:rsidRPr="005903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дополнительного образования МАУДОД «</w:t>
      </w:r>
      <w:proofErr w:type="spellStart"/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ДТДиМ</w:t>
      </w:r>
      <w:proofErr w:type="spellEnd"/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«Северное сияние».</w:t>
      </w:r>
    </w:p>
    <w:p w:rsidR="0027287A" w:rsidRDefault="0027287A" w:rsidP="009D32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03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60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5545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7287A" w:rsidRPr="00D860FC" w:rsidRDefault="0027287A" w:rsidP="009D32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6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C96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023ACA" w:rsidRDefault="00023ACA" w:rsidP="00023A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</w:t>
      </w:r>
    </w:p>
    <w:p w:rsidR="00C94645" w:rsidRPr="00C94645" w:rsidRDefault="00C94645" w:rsidP="00E31F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уровня </w:t>
      </w:r>
      <w:r w:rsidR="00CD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краткосрочных общеобразовательных программ (48час)</w:t>
      </w:r>
      <w:r w:rsidR="00A6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="00A6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31F48" w:rsidRPr="00E31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61F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экспериментальной</w:t>
      </w:r>
      <w:r w:rsidR="00E31F48" w:rsidRPr="00275C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61F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 </w:t>
      </w:r>
      <w:r w:rsidR="00E31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(участникам</w:t>
      </w:r>
      <w:r w:rsidR="00E31F48" w:rsidRPr="00171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1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эксперимента)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применялась индивидуальная карта освоения </w:t>
      </w:r>
      <w:r w:rsidR="00E3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каждого обучающегося.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</w:t>
      </w:r>
      <w:r w:rsidR="00E3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педагог </w:t>
      </w:r>
      <w:r w:rsidR="00E9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освоения программы по </w:t>
      </w:r>
      <w:r w:rsidR="00E3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критериям. </w:t>
      </w:r>
    </w:p>
    <w:p w:rsidR="00C96E68" w:rsidRDefault="00C96E68" w:rsidP="00C96E68">
      <w:pPr>
        <w:spacing w:after="0" w:line="240" w:lineRule="auto"/>
        <w:jc w:val="center"/>
      </w:pPr>
      <w:r w:rsidRPr="004577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Сводная ведомость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учащимся</w:t>
      </w:r>
    </w:p>
    <w:p w:rsidR="00C96E68" w:rsidRPr="00D860FC" w:rsidRDefault="00C96E68" w:rsidP="00C96E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0FC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D860F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86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050"/>
        <w:gridCol w:w="643"/>
        <w:gridCol w:w="992"/>
        <w:gridCol w:w="993"/>
        <w:gridCol w:w="992"/>
        <w:gridCol w:w="992"/>
        <w:gridCol w:w="992"/>
        <w:gridCol w:w="993"/>
      </w:tblGrid>
      <w:tr w:rsidR="00C96E68" w:rsidTr="004A25C2">
        <w:trPr>
          <w:trHeight w:val="336"/>
        </w:trPr>
        <w:tc>
          <w:tcPr>
            <w:tcW w:w="1985" w:type="dxa"/>
            <w:vMerge w:val="restart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50" w:type="dxa"/>
            <w:vMerge w:val="restart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643" w:type="dxa"/>
            <w:vMerge w:val="restart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5954" w:type="dxa"/>
            <w:gridSpan w:val="6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(баллы) учащихся</w:t>
            </w:r>
          </w:p>
        </w:tc>
      </w:tr>
      <w:tr w:rsidR="00C96E68" w:rsidTr="004A25C2">
        <w:tc>
          <w:tcPr>
            <w:tcW w:w="1985" w:type="dxa"/>
            <w:vMerge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2977" w:type="dxa"/>
            <w:gridSpan w:val="3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программы</w:t>
            </w:r>
          </w:p>
        </w:tc>
      </w:tr>
      <w:tr w:rsidR="00C96E68" w:rsidTr="004A25C2">
        <w:trPr>
          <w:trHeight w:val="204"/>
        </w:trPr>
        <w:tc>
          <w:tcPr>
            <w:tcW w:w="1985" w:type="dxa"/>
            <w:vMerge w:val="restart"/>
          </w:tcPr>
          <w:p w:rsidR="00C96E68" w:rsidRPr="001E085B" w:rsidRDefault="00C96E68" w:rsidP="004A25C2">
            <w:r w:rsidRPr="001E085B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Татьяна </w:t>
            </w:r>
            <w:proofErr w:type="spellStart"/>
            <w:r w:rsidRPr="001E085B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050" w:type="dxa"/>
            <w:vMerge w:val="restart"/>
          </w:tcPr>
          <w:p w:rsidR="00C96E68" w:rsidRPr="001E085B" w:rsidRDefault="00C96E68" w:rsidP="004A25C2">
            <w:r w:rsidRPr="001E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«Бюро находок»</w:t>
            </w:r>
          </w:p>
        </w:tc>
        <w:tc>
          <w:tcPr>
            <w:tcW w:w="643" w:type="dxa"/>
            <w:vMerge w:val="restart"/>
          </w:tcPr>
          <w:p w:rsidR="00C96E68" w:rsidRPr="00A13909" w:rsidRDefault="00C96E68" w:rsidP="004A25C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CCFF99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992" w:type="dxa"/>
            <w:shd w:val="clear" w:color="auto" w:fill="FF9999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992" w:type="dxa"/>
            <w:shd w:val="clear" w:color="auto" w:fill="89E0FF"/>
          </w:tcPr>
          <w:p w:rsidR="00C96E68" w:rsidRPr="001E085B" w:rsidRDefault="00C96E68" w:rsidP="004A25C2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CFF99"/>
          </w:tcPr>
          <w:p w:rsidR="00C96E68" w:rsidRPr="001E085B" w:rsidRDefault="00C96E68" w:rsidP="004A25C2"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993" w:type="dxa"/>
            <w:shd w:val="clear" w:color="auto" w:fill="FF9999"/>
          </w:tcPr>
          <w:p w:rsidR="00C96E68" w:rsidRPr="001E085B" w:rsidRDefault="00C96E68" w:rsidP="004A25C2"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</w:tr>
      <w:tr w:rsidR="00C96E68" w:rsidTr="004A25C2">
        <w:trPr>
          <w:trHeight w:val="540"/>
        </w:trPr>
        <w:tc>
          <w:tcPr>
            <w:tcW w:w="1985" w:type="dxa"/>
            <w:vMerge/>
          </w:tcPr>
          <w:p w:rsidR="00C96E68" w:rsidRPr="001E085B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C96E68" w:rsidRPr="001E085B" w:rsidRDefault="00C96E68" w:rsidP="004A2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</w:tcPr>
          <w:p w:rsidR="00C96E68" w:rsidRDefault="00C96E68" w:rsidP="004A25C2">
            <w:pPr>
              <w:jc w:val="center"/>
            </w:pP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CFF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99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FF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99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68" w:rsidTr="004A25C2">
        <w:tc>
          <w:tcPr>
            <w:tcW w:w="1985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sz w:val="24"/>
                <w:szCs w:val="24"/>
              </w:rPr>
              <w:t>Барсук Евгений Анатольевич</w:t>
            </w:r>
          </w:p>
        </w:tc>
        <w:tc>
          <w:tcPr>
            <w:tcW w:w="2050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«ВИМ»</w:t>
            </w:r>
          </w:p>
        </w:tc>
        <w:tc>
          <w:tcPr>
            <w:tcW w:w="643" w:type="dxa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CFF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9999"/>
          </w:tcPr>
          <w:p w:rsidR="00C96E68" w:rsidRPr="00D860FC" w:rsidRDefault="0077469B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99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1985" w:type="dxa"/>
          </w:tcPr>
          <w:p w:rsidR="00C96E68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50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«Ажур»</w:t>
            </w:r>
          </w:p>
        </w:tc>
        <w:tc>
          <w:tcPr>
            <w:tcW w:w="643" w:type="dxa"/>
          </w:tcPr>
          <w:p w:rsidR="00C96E68" w:rsidRPr="00A13909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FF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99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9999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E68" w:rsidTr="004A25C2">
        <w:tc>
          <w:tcPr>
            <w:tcW w:w="1985" w:type="dxa"/>
          </w:tcPr>
          <w:p w:rsidR="00C96E68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Сильвина Елена</w:t>
            </w:r>
          </w:p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50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«Дизайн+»</w:t>
            </w:r>
          </w:p>
        </w:tc>
        <w:tc>
          <w:tcPr>
            <w:tcW w:w="643" w:type="dxa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99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99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E68" w:rsidTr="004A25C2">
        <w:tc>
          <w:tcPr>
            <w:tcW w:w="1985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E1">
              <w:rPr>
                <w:rFonts w:ascii="Times New Roman" w:hAnsi="Times New Roman" w:cs="Times New Roman"/>
                <w:sz w:val="24"/>
                <w:szCs w:val="24"/>
              </w:rPr>
              <w:t>Усмендинский</w:t>
            </w:r>
            <w:proofErr w:type="spellEnd"/>
            <w:r w:rsidRPr="00D867E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050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E1">
              <w:rPr>
                <w:rFonts w:ascii="Times New Roman" w:hAnsi="Times New Roman" w:cs="Times New Roman"/>
                <w:sz w:val="24"/>
                <w:szCs w:val="24"/>
              </w:rPr>
              <w:t>«Просто о сложном»</w:t>
            </w:r>
          </w:p>
        </w:tc>
        <w:tc>
          <w:tcPr>
            <w:tcW w:w="643" w:type="dxa"/>
          </w:tcPr>
          <w:p w:rsidR="00C96E68" w:rsidRP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99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99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1985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Анна Юрьевна</w:t>
            </w:r>
          </w:p>
        </w:tc>
        <w:tc>
          <w:tcPr>
            <w:tcW w:w="2050" w:type="dxa"/>
          </w:tcPr>
          <w:p w:rsidR="00C96E68" w:rsidRPr="00D860FC" w:rsidRDefault="00C96E68" w:rsidP="004A2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–моделирование»</w:t>
            </w:r>
          </w:p>
        </w:tc>
        <w:tc>
          <w:tcPr>
            <w:tcW w:w="643" w:type="dxa"/>
          </w:tcPr>
          <w:p w:rsidR="00C96E68" w:rsidRPr="00D860FC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99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89E0FF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FF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9999"/>
          </w:tcPr>
          <w:p w:rsidR="00C96E68" w:rsidRPr="00D860FC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E68" w:rsidTr="004A25C2">
        <w:tc>
          <w:tcPr>
            <w:tcW w:w="1985" w:type="dxa"/>
          </w:tcPr>
          <w:p w:rsidR="00C96E68" w:rsidRPr="00036CA7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Дмитрий Олегович</w:t>
            </w:r>
          </w:p>
        </w:tc>
        <w:tc>
          <w:tcPr>
            <w:tcW w:w="2050" w:type="dxa"/>
          </w:tcPr>
          <w:p w:rsidR="00C96E68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" w:type="dxa"/>
          </w:tcPr>
          <w:p w:rsidR="00C96E68" w:rsidRPr="00A13909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89E0FF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FF99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9999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89E0FF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FF99"/>
          </w:tcPr>
          <w:p w:rsidR="00C96E68" w:rsidRDefault="0077469B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9999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4035" w:type="dxa"/>
            <w:gridSpan w:val="2"/>
          </w:tcPr>
          <w:p w:rsidR="00C96E68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3" w:type="dxa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89E0FF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CCFF99"/>
          </w:tcPr>
          <w:p w:rsidR="00C96E68" w:rsidRDefault="0094512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FF9999"/>
          </w:tcPr>
          <w:p w:rsidR="00C96E68" w:rsidRDefault="0077469B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89E0FF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CCFF99"/>
          </w:tcPr>
          <w:p w:rsidR="00C96E68" w:rsidRDefault="0077469B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FF9999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6E68" w:rsidRDefault="00C96E68" w:rsidP="00C96E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6E68" w:rsidRDefault="00C96E68" w:rsidP="00C96E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0F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3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134"/>
        <w:gridCol w:w="1128"/>
        <w:gridCol w:w="1140"/>
        <w:gridCol w:w="1276"/>
        <w:gridCol w:w="1275"/>
        <w:gridCol w:w="1134"/>
      </w:tblGrid>
      <w:tr w:rsidR="00C96E68" w:rsidTr="004A25C2">
        <w:trPr>
          <w:trHeight w:val="336"/>
        </w:trPr>
        <w:tc>
          <w:tcPr>
            <w:tcW w:w="1985" w:type="dxa"/>
            <w:vMerge w:val="restart"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567" w:type="dxa"/>
            <w:vMerge w:val="restart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7D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7087" w:type="dxa"/>
            <w:gridSpan w:val="6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(баллы) учащихся</w:t>
            </w:r>
          </w:p>
        </w:tc>
      </w:tr>
      <w:tr w:rsidR="00C96E68" w:rsidTr="004A25C2">
        <w:tc>
          <w:tcPr>
            <w:tcW w:w="1985" w:type="dxa"/>
            <w:vMerge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1128" w:type="dxa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1140" w:type="dxa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1276" w:type="dxa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1275" w:type="dxa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1134" w:type="dxa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</w:tr>
      <w:tr w:rsidR="00C96E68" w:rsidTr="004A25C2">
        <w:trPr>
          <w:trHeight w:val="204"/>
        </w:trPr>
        <w:tc>
          <w:tcPr>
            <w:tcW w:w="1985" w:type="dxa"/>
            <w:vMerge w:val="restart"/>
          </w:tcPr>
          <w:p w:rsidR="00C96E68" w:rsidRPr="001E085B" w:rsidRDefault="00C96E68" w:rsidP="004A25C2">
            <w:r w:rsidRPr="001E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«Бюро находок»</w:t>
            </w:r>
          </w:p>
        </w:tc>
        <w:tc>
          <w:tcPr>
            <w:tcW w:w="567" w:type="dxa"/>
            <w:vMerge w:val="restart"/>
          </w:tcPr>
          <w:p w:rsidR="00C96E68" w:rsidRDefault="00C96E68" w:rsidP="004A25C2">
            <w:pPr>
              <w:jc w:val="center"/>
            </w:pPr>
          </w:p>
          <w:p w:rsidR="00C96E68" w:rsidRDefault="00C96E68" w:rsidP="004A25C2">
            <w:pPr>
              <w:jc w:val="center"/>
            </w:pPr>
          </w:p>
          <w:p w:rsidR="00C96E68" w:rsidRPr="001E085B" w:rsidRDefault="00C9446C" w:rsidP="004A25C2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89E0FF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1128" w:type="dxa"/>
            <w:shd w:val="clear" w:color="auto" w:fill="89E0FF"/>
          </w:tcPr>
          <w:p w:rsidR="00C96E68" w:rsidRPr="00A86BB0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1140" w:type="dxa"/>
            <w:shd w:val="clear" w:color="auto" w:fill="CCFF99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C96E68" w:rsidRPr="00A86BB0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1275" w:type="dxa"/>
            <w:shd w:val="clear" w:color="auto" w:fill="FF9999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1134" w:type="dxa"/>
            <w:shd w:val="clear" w:color="auto" w:fill="FF9999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</w:tr>
      <w:tr w:rsidR="00C96E68" w:rsidTr="004A25C2">
        <w:trPr>
          <w:trHeight w:val="540"/>
        </w:trPr>
        <w:tc>
          <w:tcPr>
            <w:tcW w:w="1985" w:type="dxa"/>
            <w:vMerge/>
          </w:tcPr>
          <w:p w:rsidR="00C96E68" w:rsidRPr="001E085B" w:rsidRDefault="00C96E68" w:rsidP="004A2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96E68" w:rsidRDefault="00C96E68" w:rsidP="004A25C2">
            <w:pPr>
              <w:jc w:val="center"/>
            </w:pPr>
          </w:p>
        </w:tc>
        <w:tc>
          <w:tcPr>
            <w:tcW w:w="1134" w:type="dxa"/>
            <w:shd w:val="clear" w:color="auto" w:fill="89E0FF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89E0FF"/>
          </w:tcPr>
          <w:p w:rsidR="00C96E68" w:rsidRPr="00A86BB0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%(4)</w:t>
            </w:r>
          </w:p>
        </w:tc>
        <w:tc>
          <w:tcPr>
            <w:tcW w:w="1140" w:type="dxa"/>
            <w:shd w:val="clear" w:color="auto" w:fill="CCFF99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55%(6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Pr="00A86BB0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64%(7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45%(5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1985" w:type="dxa"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«ВИМ»</w:t>
            </w:r>
          </w:p>
        </w:tc>
        <w:tc>
          <w:tcPr>
            <w:tcW w:w="567" w:type="dxa"/>
          </w:tcPr>
          <w:p w:rsidR="00C96E68" w:rsidRPr="00F767DB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89E0FF"/>
          </w:tcPr>
          <w:p w:rsidR="00C96E68" w:rsidRPr="00F767DB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89E0FF"/>
          </w:tcPr>
          <w:p w:rsidR="00C96E68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17%(2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shd w:val="clear" w:color="auto" w:fill="CCFF99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75%(9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83%(10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25%(3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1985" w:type="dxa"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«Ажур»</w:t>
            </w:r>
          </w:p>
        </w:tc>
        <w:tc>
          <w:tcPr>
            <w:tcW w:w="567" w:type="dxa"/>
          </w:tcPr>
          <w:p w:rsidR="00C96E68" w:rsidRPr="00F767DB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89E0FF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15%(2)</w:t>
            </w:r>
          </w:p>
        </w:tc>
        <w:tc>
          <w:tcPr>
            <w:tcW w:w="1128" w:type="dxa"/>
            <w:shd w:val="clear" w:color="auto" w:fill="89E0FF"/>
          </w:tcPr>
          <w:p w:rsidR="00C96E68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 (3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shd w:val="clear" w:color="auto" w:fill="CCFF99"/>
          </w:tcPr>
          <w:p w:rsidR="00C96E68" w:rsidRPr="00F767DB" w:rsidRDefault="000D5924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 (7)</w:t>
            </w:r>
          </w:p>
        </w:tc>
        <w:tc>
          <w:tcPr>
            <w:tcW w:w="1276" w:type="dxa"/>
            <w:shd w:val="clear" w:color="auto" w:fill="CCFF99"/>
          </w:tcPr>
          <w:p w:rsidR="00C96E68" w:rsidRDefault="003119F7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D5924">
              <w:rPr>
                <w:rFonts w:ascii="Times New Roman" w:hAnsi="Times New Roman" w:cs="Times New Roman"/>
                <w:sz w:val="24"/>
                <w:szCs w:val="24"/>
              </w:rPr>
              <w:t>%(9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Pr="00F767DB" w:rsidRDefault="003119F7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D5924">
              <w:rPr>
                <w:rFonts w:ascii="Times New Roman" w:hAnsi="Times New Roman" w:cs="Times New Roman"/>
                <w:sz w:val="24"/>
                <w:szCs w:val="24"/>
              </w:rPr>
              <w:t>% (4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3119F7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924">
              <w:rPr>
                <w:rFonts w:ascii="Times New Roman" w:hAnsi="Times New Roman" w:cs="Times New Roman"/>
                <w:sz w:val="24"/>
                <w:szCs w:val="24"/>
              </w:rPr>
              <w:t>% (1)</w:t>
            </w:r>
          </w:p>
        </w:tc>
      </w:tr>
      <w:tr w:rsidR="00C96E68" w:rsidTr="004A25C2">
        <w:tc>
          <w:tcPr>
            <w:tcW w:w="1985" w:type="dxa"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«Дизайн+»</w:t>
            </w:r>
          </w:p>
        </w:tc>
        <w:tc>
          <w:tcPr>
            <w:tcW w:w="567" w:type="dxa"/>
          </w:tcPr>
          <w:p w:rsidR="00C96E68" w:rsidRPr="00F767DB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89E0FF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(1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shd w:val="clear" w:color="auto" w:fill="89E0FF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 (5)</w:t>
            </w:r>
          </w:p>
        </w:tc>
        <w:tc>
          <w:tcPr>
            <w:tcW w:w="1140" w:type="dxa"/>
            <w:shd w:val="clear" w:color="auto" w:fill="CCFF99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 (7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(6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 (4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</w:tr>
      <w:tr w:rsidR="00C96E68" w:rsidTr="004A25C2">
        <w:tc>
          <w:tcPr>
            <w:tcW w:w="1985" w:type="dxa"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«Просто о сложном»</w:t>
            </w:r>
          </w:p>
        </w:tc>
        <w:tc>
          <w:tcPr>
            <w:tcW w:w="567" w:type="dxa"/>
          </w:tcPr>
          <w:p w:rsidR="00C96E68" w:rsidRPr="00F767DB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89E0FF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 (3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shd w:val="clear" w:color="auto" w:fill="89E0FF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%(5)</w:t>
            </w:r>
          </w:p>
        </w:tc>
        <w:tc>
          <w:tcPr>
            <w:tcW w:w="1140" w:type="dxa"/>
            <w:shd w:val="clear" w:color="auto" w:fill="CCFF99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 (5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64%(9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43%(6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1985" w:type="dxa"/>
          </w:tcPr>
          <w:p w:rsidR="00C96E68" w:rsidRPr="00F767DB" w:rsidRDefault="00C96E68" w:rsidP="004A2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–моделирование»</w:t>
            </w:r>
          </w:p>
        </w:tc>
        <w:tc>
          <w:tcPr>
            <w:tcW w:w="567" w:type="dxa"/>
          </w:tcPr>
          <w:p w:rsidR="00C96E68" w:rsidRPr="00F767DB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89E0FF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8%(1)</w:t>
            </w:r>
          </w:p>
        </w:tc>
        <w:tc>
          <w:tcPr>
            <w:tcW w:w="1128" w:type="dxa"/>
            <w:shd w:val="clear" w:color="auto" w:fill="89E0FF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31%(4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shd w:val="clear" w:color="auto" w:fill="CCFF99"/>
          </w:tcPr>
          <w:p w:rsidR="00C96E68" w:rsidRPr="00F767DB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69%(9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Default="00CC0FF3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61%(8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Pr="00F767DB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0FF3">
              <w:rPr>
                <w:rFonts w:ascii="Times New Roman" w:hAnsi="Times New Roman" w:cs="Times New Roman"/>
                <w:sz w:val="24"/>
                <w:szCs w:val="24"/>
              </w:rPr>
              <w:t>%(3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FF3">
              <w:rPr>
                <w:rFonts w:ascii="Times New Roman" w:hAnsi="Times New Roman" w:cs="Times New Roman"/>
                <w:sz w:val="24"/>
                <w:szCs w:val="24"/>
              </w:rPr>
              <w:t>%(1)</w:t>
            </w:r>
          </w:p>
        </w:tc>
      </w:tr>
      <w:tr w:rsidR="00C96E68" w:rsidTr="004A25C2">
        <w:tc>
          <w:tcPr>
            <w:tcW w:w="1985" w:type="dxa"/>
          </w:tcPr>
          <w:p w:rsidR="00C96E68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89E0FF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 (2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shd w:val="clear" w:color="auto" w:fill="89E0FF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 (4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shd w:val="clear" w:color="auto" w:fill="CCFF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67%(8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67%(8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99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16%(2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E68" w:rsidTr="004A25C2">
        <w:tc>
          <w:tcPr>
            <w:tcW w:w="1985" w:type="dxa"/>
          </w:tcPr>
          <w:p w:rsidR="00C96E68" w:rsidRDefault="00C96E68" w:rsidP="004A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96E68" w:rsidRDefault="00C96E68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89E0FF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10%(9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shd w:val="clear" w:color="auto" w:fill="89E0FF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 (27)</w:t>
            </w:r>
          </w:p>
        </w:tc>
        <w:tc>
          <w:tcPr>
            <w:tcW w:w="1140" w:type="dxa"/>
            <w:shd w:val="clear" w:color="auto" w:fill="CCFF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59%(51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CCFF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%(57)</w:t>
            </w:r>
          </w:p>
        </w:tc>
        <w:tc>
          <w:tcPr>
            <w:tcW w:w="1275" w:type="dxa"/>
            <w:shd w:val="clear" w:color="auto" w:fill="FF99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31%(27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9999"/>
          </w:tcPr>
          <w:p w:rsidR="00C96E68" w:rsidRDefault="00C9446C" w:rsidP="004A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E68">
              <w:rPr>
                <w:rFonts w:ascii="Times New Roman" w:hAnsi="Times New Roman" w:cs="Times New Roman"/>
                <w:sz w:val="24"/>
                <w:szCs w:val="24"/>
              </w:rPr>
              <w:t>%(3)</w:t>
            </w:r>
          </w:p>
        </w:tc>
      </w:tr>
    </w:tbl>
    <w:p w:rsidR="00C96E68" w:rsidRDefault="00C96E68" w:rsidP="00C96E68">
      <w:pPr>
        <w:rPr>
          <w:rFonts w:ascii="Times New Roman" w:hAnsi="Times New Roman" w:cs="Times New Roman"/>
          <w:sz w:val="28"/>
          <w:szCs w:val="28"/>
        </w:rPr>
      </w:pPr>
    </w:p>
    <w:p w:rsidR="00023ACA" w:rsidRDefault="00023ACA" w:rsidP="00AF4D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3966" w:rsidRDefault="00723966" w:rsidP="003F52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3966">
        <w:rPr>
          <w:rFonts w:ascii="Times New Roman" w:hAnsi="Times New Roman" w:cs="Times New Roman"/>
          <w:sz w:val="28"/>
          <w:szCs w:val="28"/>
        </w:rPr>
        <w:t>Исходя из полученных данных следуе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увеличился высокий уровень освоения программ (начальная </w:t>
      </w:r>
      <w:r w:rsidR="0027287A">
        <w:rPr>
          <w:rFonts w:ascii="Times New Roman" w:hAnsi="Times New Roman" w:cs="Times New Roman"/>
          <w:sz w:val="28"/>
          <w:szCs w:val="28"/>
        </w:rPr>
        <w:t xml:space="preserve"> диагностика выявила </w:t>
      </w:r>
      <w:r w:rsidR="009D32CF">
        <w:rPr>
          <w:rFonts w:ascii="Times New Roman" w:hAnsi="Times New Roman" w:cs="Times New Roman"/>
          <w:sz w:val="28"/>
          <w:szCs w:val="28"/>
        </w:rPr>
        <w:t xml:space="preserve"> </w:t>
      </w:r>
      <w:r w:rsidR="00B748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8D">
        <w:rPr>
          <w:rFonts w:ascii="Times New Roman" w:hAnsi="Times New Roman" w:cs="Times New Roman"/>
          <w:sz w:val="28"/>
          <w:szCs w:val="28"/>
        </w:rPr>
        <w:t>учащихся с  высоким уровнем,  по</w:t>
      </w:r>
      <w:r>
        <w:rPr>
          <w:rFonts w:ascii="Times New Roman" w:hAnsi="Times New Roman" w:cs="Times New Roman"/>
          <w:sz w:val="28"/>
          <w:szCs w:val="28"/>
        </w:rPr>
        <w:t xml:space="preserve"> итоговой диагностике </w:t>
      </w:r>
      <w:r w:rsidR="00B7480A">
        <w:rPr>
          <w:rFonts w:ascii="Times New Roman" w:hAnsi="Times New Roman" w:cs="Times New Roman"/>
          <w:sz w:val="28"/>
          <w:szCs w:val="28"/>
        </w:rPr>
        <w:t>этот показатель  возрос до 27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F52BB">
        <w:rPr>
          <w:rFonts w:ascii="Times New Roman" w:hAnsi="Times New Roman" w:cs="Times New Roman"/>
          <w:sz w:val="28"/>
          <w:szCs w:val="28"/>
        </w:rPr>
        <w:t>Средний уровень повысился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</w:t>
      </w:r>
      <w:r w:rsidR="00B7480A">
        <w:rPr>
          <w:rFonts w:ascii="Times New Roman" w:hAnsi="Times New Roman" w:cs="Times New Roman"/>
          <w:sz w:val="28"/>
          <w:szCs w:val="28"/>
        </w:rPr>
        <w:t xml:space="preserve"> (</w:t>
      </w:r>
      <w:r w:rsidR="00174F8D">
        <w:rPr>
          <w:rFonts w:ascii="Times New Roman" w:hAnsi="Times New Roman" w:cs="Times New Roman"/>
          <w:sz w:val="28"/>
          <w:szCs w:val="28"/>
        </w:rPr>
        <w:t xml:space="preserve">с </w:t>
      </w:r>
      <w:r w:rsidR="00B7480A">
        <w:rPr>
          <w:rFonts w:ascii="Times New Roman" w:hAnsi="Times New Roman" w:cs="Times New Roman"/>
          <w:sz w:val="28"/>
          <w:szCs w:val="28"/>
        </w:rPr>
        <w:t>51</w:t>
      </w:r>
      <w:r w:rsidR="00174F8D">
        <w:rPr>
          <w:rFonts w:ascii="Times New Roman" w:hAnsi="Times New Roman" w:cs="Times New Roman"/>
          <w:sz w:val="28"/>
          <w:szCs w:val="28"/>
        </w:rPr>
        <w:t xml:space="preserve"> д</w:t>
      </w:r>
      <w:r w:rsidR="00B7480A">
        <w:rPr>
          <w:rFonts w:ascii="Times New Roman" w:hAnsi="Times New Roman" w:cs="Times New Roman"/>
          <w:sz w:val="28"/>
          <w:szCs w:val="28"/>
        </w:rPr>
        <w:t>о 57</w:t>
      </w:r>
      <w:r w:rsidR="00174F8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7480A">
        <w:rPr>
          <w:rFonts w:ascii="Times New Roman" w:hAnsi="Times New Roman" w:cs="Times New Roman"/>
          <w:sz w:val="28"/>
          <w:szCs w:val="28"/>
        </w:rPr>
        <w:t>)</w:t>
      </w:r>
      <w:r w:rsidR="00272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966">
        <w:rPr>
          <w:rFonts w:ascii="Times New Roman" w:hAnsi="Times New Roman" w:cs="Times New Roman"/>
          <w:sz w:val="28"/>
          <w:szCs w:val="28"/>
        </w:rPr>
        <w:t>Соответственно наблюдается снижение низкого уровня относительно результ</w:t>
      </w:r>
      <w:r>
        <w:rPr>
          <w:rFonts w:ascii="Times New Roman" w:hAnsi="Times New Roman" w:cs="Times New Roman"/>
          <w:sz w:val="28"/>
          <w:szCs w:val="28"/>
        </w:rPr>
        <w:t>атов, полученных на начало освоения программ</w:t>
      </w:r>
      <w:r w:rsidRPr="0072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(пок</w:t>
      </w:r>
      <w:r w:rsidR="00B7480A">
        <w:rPr>
          <w:rFonts w:ascii="Times New Roman" w:hAnsi="Times New Roman" w:cs="Times New Roman"/>
          <w:sz w:val="28"/>
          <w:szCs w:val="28"/>
        </w:rPr>
        <w:t>азатель снизился с 31</w:t>
      </w:r>
      <w:r>
        <w:rPr>
          <w:rFonts w:ascii="Times New Roman" w:hAnsi="Times New Roman" w:cs="Times New Roman"/>
          <w:sz w:val="28"/>
          <w:szCs w:val="28"/>
        </w:rPr>
        <w:t xml:space="preserve"> до 3).</w:t>
      </w:r>
    </w:p>
    <w:p w:rsidR="00337EB4" w:rsidRDefault="00337EB4" w:rsidP="003F52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D"/>
    <w:rsid w:val="00023ACA"/>
    <w:rsid w:val="00036CA7"/>
    <w:rsid w:val="000D5924"/>
    <w:rsid w:val="000F6204"/>
    <w:rsid w:val="00143EBD"/>
    <w:rsid w:val="00174F8D"/>
    <w:rsid w:val="0027287A"/>
    <w:rsid w:val="003119F7"/>
    <w:rsid w:val="00337EB4"/>
    <w:rsid w:val="003F52BB"/>
    <w:rsid w:val="004E4A08"/>
    <w:rsid w:val="00624A89"/>
    <w:rsid w:val="00723966"/>
    <w:rsid w:val="0073280B"/>
    <w:rsid w:val="0077469B"/>
    <w:rsid w:val="00860B9F"/>
    <w:rsid w:val="008C1422"/>
    <w:rsid w:val="0094512C"/>
    <w:rsid w:val="00950205"/>
    <w:rsid w:val="009D32CF"/>
    <w:rsid w:val="00A61F88"/>
    <w:rsid w:val="00AF4DEB"/>
    <w:rsid w:val="00B7480A"/>
    <w:rsid w:val="00B95A9C"/>
    <w:rsid w:val="00BC3302"/>
    <w:rsid w:val="00C330FD"/>
    <w:rsid w:val="00C62D94"/>
    <w:rsid w:val="00C9446C"/>
    <w:rsid w:val="00C94645"/>
    <w:rsid w:val="00C96E68"/>
    <w:rsid w:val="00CC0E6B"/>
    <w:rsid w:val="00CC0FF3"/>
    <w:rsid w:val="00CD36AE"/>
    <w:rsid w:val="00E31F48"/>
    <w:rsid w:val="00E923D2"/>
    <w:rsid w:val="00EA3C0A"/>
    <w:rsid w:val="00EB0135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7A"/>
  </w:style>
  <w:style w:type="table" w:styleId="a3">
    <w:name w:val="Table Grid"/>
    <w:basedOn w:val="a1"/>
    <w:uiPriority w:val="39"/>
    <w:rsid w:val="002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3ACA"/>
    <w:rPr>
      <w:b/>
      <w:bCs/>
    </w:rPr>
  </w:style>
  <w:style w:type="character" w:styleId="a8">
    <w:name w:val="Emphasis"/>
    <w:basedOn w:val="a0"/>
    <w:uiPriority w:val="20"/>
    <w:qFormat/>
    <w:rsid w:val="00023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7A"/>
  </w:style>
  <w:style w:type="table" w:styleId="a3">
    <w:name w:val="Table Grid"/>
    <w:basedOn w:val="a1"/>
    <w:uiPriority w:val="39"/>
    <w:rsid w:val="002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3ACA"/>
    <w:rPr>
      <w:b/>
      <w:bCs/>
    </w:rPr>
  </w:style>
  <w:style w:type="character" w:styleId="a8">
    <w:name w:val="Emphasis"/>
    <w:basedOn w:val="a0"/>
    <w:uiPriority w:val="20"/>
    <w:qFormat/>
    <w:rsid w:val="0002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 сияние</dc:creator>
  <cp:keywords/>
  <dc:description/>
  <cp:lastModifiedBy>Северное сияние</cp:lastModifiedBy>
  <cp:revision>26</cp:revision>
  <cp:lastPrinted>2017-09-19T04:41:00Z</cp:lastPrinted>
  <dcterms:created xsi:type="dcterms:W3CDTF">2017-09-15T02:01:00Z</dcterms:created>
  <dcterms:modified xsi:type="dcterms:W3CDTF">2017-09-21T02:30:00Z</dcterms:modified>
</cp:coreProperties>
</file>